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EC9641F" w14:textId="77777777" w:rsidR="009B5916" w:rsidRPr="004D1966" w:rsidRDefault="00000000">
      <w:pPr>
        <w:pStyle w:val="1"/>
        <w:spacing w:before="0" w:after="12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웨어러블, 기업 보건의 미래를 열다</w:t>
      </w:r>
    </w:p>
    <w:p w14:paraId="2F12CD7C" w14:textId="77777777" w:rsidR="009B5916" w:rsidRPr="004D1966" w:rsidRDefault="00000000">
      <w:pPr>
        <w:pStyle w:val="2"/>
        <w:spacing w:before="0" w:after="12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서론: 국가적 보건 위기와 기업 보건의 구조적 변곡점</w:t>
      </w:r>
    </w:p>
    <w:p w14:paraId="7F61C7D0"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현대 경제와 보건의료 시스템은 전례 없는 구조적 위기와 기술적 혁신이 교차하는 중대한 변곡점에 서 있다. 영국(UK)을 비롯한 주요 선진국 경제는 현재 노동 인구의 건강 악화로 인한 심각한 노동력 손실, 즉 '경제활동 비활동성(Economic Inactivity)'이라는 거시경제적 난제에 직면해 있다. 이는 단순히 개별 근로자의 불운이나 단기적인 의료 시스템의 적체 현상으로 치부할 수 없는 복합적인 문제이다. 장기 질병으로 인한 노동 시장 이탈은 국가의 생산성을 저하시키고, 복지 지출을 급증시키며, 궁극적으로 기업의 생존과 국가 경제의 근간을 위협하는 핵심 위험 요소로 부상했다.</w:t>
      </w:r>
    </w:p>
    <w:p w14:paraId="653B787C"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color w:val="444746"/>
          <w:sz w:val="24"/>
          <w:szCs w:val="24"/>
          <w:vertAlign w:val="superscript"/>
        </w:rPr>
      </w:pPr>
      <w:r w:rsidRPr="004D1966">
        <w:rPr>
          <w:rFonts w:asciiTheme="majorEastAsia" w:eastAsiaTheme="majorEastAsia" w:hAnsiTheme="majorEastAsia" w:cs="Google Sans"/>
          <w:color w:val="1F1F1F"/>
        </w:rPr>
        <w:t>이러한 전 국가적 위기를 타개하기 위해 영국 정부는 국가보건서비스(NHS)의 근본적인 체질 개선을 목표로 하는 'NHS 10개년 계획(10 Year Health Plan)'을 발표했다.</w:t>
      </w:r>
      <w:r w:rsidRPr="004D1966">
        <w:rPr>
          <w:rFonts w:asciiTheme="majorEastAsia" w:eastAsiaTheme="majorEastAsia" w:hAnsiTheme="majorEastAsia" w:cs="Google Sans"/>
          <w:color w:val="444746"/>
          <w:sz w:val="24"/>
          <w:szCs w:val="24"/>
          <w:vertAlign w:val="superscript"/>
        </w:rPr>
        <w:t>1</w:t>
      </w:r>
      <w:r w:rsidRPr="004D1966">
        <w:rPr>
          <w:rFonts w:asciiTheme="majorEastAsia" w:eastAsiaTheme="majorEastAsia" w:hAnsiTheme="majorEastAsia" w:cs="Google Sans"/>
          <w:color w:val="1F1F1F"/>
        </w:rPr>
        <w:t xml:space="preserve"> 이 계획의 철학적 기반은 전통적인 사후 치료 중심의 의료에서 벗어나, 데이터와 첨단 기술을 활용하여 질병을 사전에 예측하고 예방하는 방향으로 나아가는 것이다.</w:t>
      </w:r>
      <w:r w:rsidRPr="004D1966">
        <w:rPr>
          <w:rFonts w:asciiTheme="majorEastAsia" w:eastAsiaTheme="majorEastAsia" w:hAnsiTheme="majorEastAsia" w:cs="Google Sans"/>
          <w:color w:val="444746"/>
          <w:sz w:val="24"/>
          <w:szCs w:val="24"/>
          <w:vertAlign w:val="superscript"/>
        </w:rPr>
        <w:t>2</w:t>
      </w:r>
      <w:r w:rsidRPr="004D1966">
        <w:rPr>
          <w:rFonts w:asciiTheme="majorEastAsia" w:eastAsiaTheme="majorEastAsia" w:hAnsiTheme="majorEastAsia" w:cs="Google Sans"/>
          <w:color w:val="1F1F1F"/>
        </w:rPr>
        <w:t xml:space="preserve"> 특히 '병원에서 지역사회로(Hospital to community)'라는 거대한 공간적, 패러다임적 전환은 환자가 병상에 누워있는 시간을 최소화하고, 자신의 일상생활과 직장(Workplace)에서 지속적인 건강 관리를 받을 수 있는 새로운 생태계의 구축을 의미한다.</w:t>
      </w:r>
      <w:r w:rsidRPr="004D1966">
        <w:rPr>
          <w:rFonts w:asciiTheme="majorEastAsia" w:eastAsiaTheme="majorEastAsia" w:hAnsiTheme="majorEastAsia" w:cs="Google Sans"/>
          <w:color w:val="444746"/>
          <w:sz w:val="24"/>
          <w:szCs w:val="24"/>
          <w:vertAlign w:val="superscript"/>
        </w:rPr>
        <w:t>1</w:t>
      </w:r>
    </w:p>
    <w:p w14:paraId="358A2C0D"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이 거대한 전환을 가능하게 하는 핵심적인 기술적 척추(Technological backbone)가 바로 '웨어러블 기술(Wearable Technology)'과 인공지능(AI)의 융합이다. 초기 피트니스 추적 수준에 머물렀던 웨어러블 기기는 이제 임상 등급(Clinical-grade)의 정밀도를 갖추고, 근골격계 질환 예측부터 멘탈 번아웃(Mental burnout)의 조기 감지에 이르기까지 기업 보건(Occupational Health)의 전 영역을 혁신하고 있다.</w:t>
      </w:r>
      <w:r w:rsidRPr="004D1966">
        <w:rPr>
          <w:rFonts w:asciiTheme="majorEastAsia" w:eastAsiaTheme="majorEastAsia" w:hAnsiTheme="majorEastAsia" w:cs="Google Sans"/>
          <w:color w:val="444746"/>
          <w:sz w:val="24"/>
          <w:szCs w:val="24"/>
          <w:vertAlign w:val="superscript"/>
        </w:rPr>
        <w:t>4</w:t>
      </w:r>
      <w:r w:rsidRPr="004D1966">
        <w:rPr>
          <w:rFonts w:asciiTheme="majorEastAsia" w:eastAsiaTheme="majorEastAsia" w:hAnsiTheme="majorEastAsia" w:cs="Google Sans"/>
          <w:color w:val="1F1F1F"/>
        </w:rPr>
        <w:t xml:space="preserve"> 과거 기업 보건이 이미 발생한 산업재해나 질병 결근을 사후에 수습하는 수동적인 역할에 머물렀다면, 이제는 실시간 생체 데이터를 기반으로 사고와 질병을 미연에 방지하는 선제적이고 예측 가능한(Predictive) 관리 체계로 진화해야 한다는 강력한 시대적 요구에 직면해 있다.</w:t>
      </w:r>
    </w:p>
    <w:p w14:paraId="10C8C3FF"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 xml:space="preserve">본 보고서는 영국의 장기 질병에 따른 경제활동 비활동성 위기의 본질을 심층적으로 분석하고, </w:t>
      </w:r>
      <w:r w:rsidRPr="004D1966">
        <w:rPr>
          <w:rFonts w:asciiTheme="majorEastAsia" w:eastAsiaTheme="majorEastAsia" w:hAnsiTheme="majorEastAsia" w:cs="Google Sans"/>
          <w:color w:val="1F1F1F"/>
        </w:rPr>
        <w:lastRenderedPageBreak/>
        <w:t>NHS 10개년 계획과 다라지 경(Lord Darzi)의 독립 조사 보고서가 제시하는 보건의료 시스템의 패러다임 전환을 고찰한다. 나아가 웨어러블 기술이 가상 병동(Virtual Wards)과 기업 보건 현장에서 어떻게 구체적으로 적용되고 있는지 검토하며, 궁극적으로 기업이 직원의 건강을 보호하고 생산성을 극대화하기 위해 채택해야 할 전략적이고 제도적인 미래 방향성을 제시한다.</w:t>
      </w:r>
    </w:p>
    <w:p w14:paraId="0113B5E1" w14:textId="77777777" w:rsidR="009B5916" w:rsidRPr="004D1966" w:rsidRDefault="00000000">
      <w:pPr>
        <w:pStyle w:val="2"/>
        <w:spacing w:before="0" w:after="12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1. 경제활동 비활동성(Economic Inactivity)의 확산과 거시경제적 파급 효과</w:t>
      </w:r>
    </w:p>
    <w:p w14:paraId="6C351A9A"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노동 인구의 건강 상태는 국가의 경제 성장 잠재력을 결정짓는 가장 중요한 인프라이다. 그러나 현재의 지표들은 이 인프라가 붕괴 직전에 이르렀음을 강력하게 시사하고 있다. 영국 상공회의소(BCC)가 발표한 "사람을 통한 성장: 건강이 작동하게 만들기(Growth through People: Making Health Work)" 보고서와 영국 통계청(ONS)의 데이터는 장기 질병이 어떻게 국가 경제의 발목을 잡고 있는지 적나라하게 보여준다.</w:t>
      </w:r>
    </w:p>
    <w:p w14:paraId="4C4A8A0B" w14:textId="77777777" w:rsidR="009B5916" w:rsidRPr="004D1966" w:rsidRDefault="00000000">
      <w:pPr>
        <w:pStyle w:val="3"/>
        <w:spacing w:before="0" w:after="12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1.1. 장기 질병으로 인한 노동 시장 이탈의 가속화</w:t>
      </w:r>
    </w:p>
    <w:p w14:paraId="629EB65D"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color w:val="444746"/>
          <w:sz w:val="24"/>
          <w:szCs w:val="24"/>
          <w:vertAlign w:val="superscript"/>
        </w:rPr>
      </w:pPr>
      <w:r w:rsidRPr="004D1966">
        <w:rPr>
          <w:rFonts w:asciiTheme="majorEastAsia" w:eastAsiaTheme="majorEastAsia" w:hAnsiTheme="majorEastAsia" w:cs="Google Sans"/>
          <w:color w:val="1F1F1F"/>
        </w:rPr>
        <w:t>최신 노동 시장 통계에 따르면, 영국의 전체 경제활동 비활동 인구 약 900만 명 중 3분의 1에 해당하는 약 280만 명이 '장기 질병(Long-term sickness)'을 이유로 경제활동에 참여하지 못하고 있다.</w:t>
      </w:r>
      <w:r w:rsidRPr="004D1966">
        <w:rPr>
          <w:rFonts w:asciiTheme="majorEastAsia" w:eastAsiaTheme="majorEastAsia" w:hAnsiTheme="majorEastAsia" w:cs="Google Sans"/>
          <w:color w:val="444746"/>
          <w:sz w:val="24"/>
          <w:szCs w:val="24"/>
          <w:vertAlign w:val="superscript"/>
        </w:rPr>
        <w:t>6</w:t>
      </w:r>
      <w:r w:rsidRPr="004D1966">
        <w:rPr>
          <w:rFonts w:asciiTheme="majorEastAsia" w:eastAsiaTheme="majorEastAsia" w:hAnsiTheme="majorEastAsia" w:cs="Google Sans"/>
          <w:color w:val="1F1F1F"/>
        </w:rPr>
        <w:t xml:space="preserve"> 이는 영국 전체 노동력의 약 7%에 달하는 막대한 수치이다.</w:t>
      </w:r>
      <w:r w:rsidRPr="004D1966">
        <w:rPr>
          <w:rFonts w:asciiTheme="majorEastAsia" w:eastAsiaTheme="majorEastAsia" w:hAnsiTheme="majorEastAsia" w:cs="Google Sans"/>
          <w:color w:val="444746"/>
          <w:sz w:val="24"/>
          <w:szCs w:val="24"/>
          <w:vertAlign w:val="superscript"/>
        </w:rPr>
        <w:t>6</w:t>
      </w:r>
      <w:r w:rsidRPr="004D1966">
        <w:rPr>
          <w:rFonts w:asciiTheme="majorEastAsia" w:eastAsiaTheme="majorEastAsia" w:hAnsiTheme="majorEastAsia" w:cs="Google Sans"/>
          <w:color w:val="1F1F1F"/>
        </w:rPr>
        <w:t xml:space="preserve"> 질병으로 인한 경제활동 비활동성 비율의 추이를 살펴보면, 2013년 3월 2.5%에서 팬데믹 직전인 2020년 3월 3.2%로 완만하게 증가하다가, 팬데믹 이후 비선형적인 급증세를 보이며 2025년 2월 기준 5.5%로 두 배 이상 치솟았다.</w:t>
      </w:r>
      <w:r w:rsidRPr="004D1966">
        <w:rPr>
          <w:rFonts w:asciiTheme="majorEastAsia" w:eastAsiaTheme="majorEastAsia" w:hAnsiTheme="majorEastAsia" w:cs="Google Sans"/>
          <w:color w:val="444746"/>
          <w:sz w:val="24"/>
          <w:szCs w:val="24"/>
          <w:vertAlign w:val="superscript"/>
        </w:rPr>
        <w:t>9</w:t>
      </w:r>
    </w:p>
    <w:p w14:paraId="7DC6FCFA"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이러한 수치는 국제적인 관점에서 볼 때 영국의 노동 시장이 겪고 있는 고유한 취약성을 드러낸다. 2025년 3분기 기준 G7 국가들의 경제활동 비활동성 비율을 비교해 보면, 이탈리아가 33.3%로 가장 높고 일본이 17.8%로 가장 낮으며 영국은 그 중간에 위치해 있다.</w:t>
      </w:r>
      <w:r w:rsidRPr="004D1966">
        <w:rPr>
          <w:rFonts w:asciiTheme="majorEastAsia" w:eastAsiaTheme="majorEastAsia" w:hAnsiTheme="majorEastAsia" w:cs="Google Sans"/>
          <w:color w:val="444746"/>
          <w:sz w:val="24"/>
          <w:szCs w:val="24"/>
          <w:vertAlign w:val="superscript"/>
        </w:rPr>
        <w:t>10</w:t>
      </w:r>
      <w:r w:rsidRPr="004D1966">
        <w:rPr>
          <w:rFonts w:asciiTheme="majorEastAsia" w:eastAsiaTheme="majorEastAsia" w:hAnsiTheme="majorEastAsia" w:cs="Google Sans"/>
          <w:color w:val="1F1F1F"/>
        </w:rPr>
        <w:t xml:space="preserve"> 그러나 주목해야 할 점은 G7 국가 중 유일하게 영국만이 2025년의 비활동성 비율이 팬데믹 이전인 2019년 4분기 수준을 상회하고 있다는 사실이다.</w:t>
      </w:r>
      <w:r w:rsidRPr="004D1966">
        <w:rPr>
          <w:rFonts w:asciiTheme="majorEastAsia" w:eastAsiaTheme="majorEastAsia" w:hAnsiTheme="majorEastAsia" w:cs="Google Sans"/>
          <w:color w:val="444746"/>
          <w:sz w:val="24"/>
          <w:szCs w:val="24"/>
          <w:vertAlign w:val="superscript"/>
        </w:rPr>
        <w:t>10</w:t>
      </w:r>
      <w:r w:rsidRPr="004D1966">
        <w:rPr>
          <w:rFonts w:asciiTheme="majorEastAsia" w:eastAsiaTheme="majorEastAsia" w:hAnsiTheme="majorEastAsia" w:cs="Google Sans"/>
          <w:color w:val="1F1F1F"/>
        </w:rPr>
        <w:t xml:space="preserve"> 유럽의 다른 선진국인 독일과 프랑스가 2019년에서 2021년 사이 질병으로 인한 비활동성 비율을 안정화하거나 감소시킨 </w:t>
      </w:r>
      <w:r w:rsidRPr="004D1966">
        <w:rPr>
          <w:rFonts w:asciiTheme="majorEastAsia" w:eastAsiaTheme="majorEastAsia" w:hAnsiTheme="majorEastAsia" w:cs="Google Sans"/>
          <w:color w:val="1F1F1F"/>
        </w:rPr>
        <w:lastRenderedPageBreak/>
        <w:t>반면, 영국은 지속적인 상승 곡선을 그리고 있다.</w:t>
      </w:r>
      <w:r w:rsidRPr="004D1966">
        <w:rPr>
          <w:rFonts w:asciiTheme="majorEastAsia" w:eastAsiaTheme="majorEastAsia" w:hAnsiTheme="majorEastAsia" w:cs="Google Sans"/>
          <w:color w:val="444746"/>
          <w:sz w:val="24"/>
          <w:szCs w:val="24"/>
          <w:vertAlign w:val="superscript"/>
        </w:rPr>
        <w:t>11</w:t>
      </w:r>
      <w:r w:rsidRPr="004D1966">
        <w:rPr>
          <w:rFonts w:asciiTheme="majorEastAsia" w:eastAsiaTheme="majorEastAsia" w:hAnsiTheme="majorEastAsia" w:cs="Google Sans"/>
          <w:color w:val="1F1F1F"/>
        </w:rPr>
        <w:t xml:space="preserve"> 이는 단기적인 전염병의 여파를 넘어 영국의 보건 시스템과 기업의 건강 관리 구조 자체에 심각한 결함이 있음을 방증한다.</w:t>
      </w:r>
    </w:p>
    <w:p w14:paraId="55E3F1F0" w14:textId="77777777" w:rsidR="009B5916" w:rsidRPr="004D1966" w:rsidRDefault="00000000">
      <w:pPr>
        <w:pStyle w:val="3"/>
        <w:spacing w:before="0" w:after="12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1.2. 막대한 경제적 손실과 프리젠티즘(Presenteeism)의 덫</w:t>
      </w:r>
    </w:p>
    <w:p w14:paraId="24C56C6A"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color w:val="444746"/>
          <w:sz w:val="24"/>
          <w:szCs w:val="24"/>
          <w:vertAlign w:val="superscript"/>
        </w:rPr>
      </w:pPr>
      <w:r w:rsidRPr="004D1966">
        <w:rPr>
          <w:rFonts w:asciiTheme="majorEastAsia" w:eastAsiaTheme="majorEastAsia" w:hAnsiTheme="majorEastAsia" w:cs="Google Sans"/>
          <w:color w:val="1F1F1F"/>
        </w:rPr>
        <w:t>노동력 이탈로 인한 경제적 파급 효과는 개별 기업의 수익성 악화를 넘어 국가 재정의 위기로 직결된다. 영국 정부의 추산에 따르면, 이러한 경제활동 비활동성으로 인해 발생하는 국가적 경제 생산성 손실은 연간 최소 1,350억 파운드에 달하며, 이는 막대한 규모의 복지 수당 지급액이 제외된 순수 경제적 손실치이다.</w:t>
      </w:r>
      <w:r w:rsidRPr="004D1966">
        <w:rPr>
          <w:rFonts w:asciiTheme="majorEastAsia" w:eastAsiaTheme="majorEastAsia" w:hAnsiTheme="majorEastAsia" w:cs="Google Sans"/>
          <w:color w:val="444746"/>
          <w:sz w:val="24"/>
          <w:szCs w:val="24"/>
          <w:vertAlign w:val="superscript"/>
        </w:rPr>
        <w:t>6</w:t>
      </w:r>
      <w:r w:rsidRPr="004D1966">
        <w:rPr>
          <w:rFonts w:asciiTheme="majorEastAsia" w:eastAsiaTheme="majorEastAsia" w:hAnsiTheme="majorEastAsia" w:cs="Google Sans"/>
          <w:color w:val="1F1F1F"/>
        </w:rPr>
        <w:t xml:space="preserve"> 더욱 우려스러운 점은 매년 30만 명 이상의 인력이 건강 악화를 이기지 못하고 노동 시장에서 완전히 이탈하는 구조적 고착화 현상이다.</w:t>
      </w:r>
      <w:r w:rsidRPr="004D1966">
        <w:rPr>
          <w:rFonts w:asciiTheme="majorEastAsia" w:eastAsiaTheme="majorEastAsia" w:hAnsiTheme="majorEastAsia" w:cs="Google Sans"/>
          <w:color w:val="444746"/>
          <w:sz w:val="24"/>
          <w:szCs w:val="24"/>
          <w:vertAlign w:val="superscript"/>
        </w:rPr>
        <w:t>6</w:t>
      </w:r>
    </w:p>
    <w:p w14:paraId="44DCEB62"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color w:val="444746"/>
          <w:sz w:val="24"/>
          <w:szCs w:val="24"/>
          <w:vertAlign w:val="superscript"/>
        </w:rPr>
      </w:pPr>
      <w:r w:rsidRPr="004D1966">
        <w:rPr>
          <w:rFonts w:asciiTheme="majorEastAsia" w:eastAsiaTheme="majorEastAsia" w:hAnsiTheme="majorEastAsia" w:cs="Google Sans"/>
          <w:color w:val="1F1F1F"/>
        </w:rPr>
        <w:t>이러한 눈에 보이는 결근율(Absenteeism) 이면에는 더 거대하고 은밀한 위기인 '프리젠티즘(Presenteeism)'이 자리 잡고 있다. 프리젠티즘이란 근로자가 질병이나 스트레스를 안고 출근하여 육체적, 정신적으로 정상적인 업무 수행이 불가능함에도 자리를 지키며 발생하는 생산성 저하 현상을 의미한다. 영국의 경우 2018년 이후 프리젠티즘으로 인한 누적 경제 손실이 2,500억 파운드에 달하는 것으로 추산된다.</w:t>
      </w:r>
      <w:r w:rsidRPr="004D1966">
        <w:rPr>
          <w:rFonts w:asciiTheme="majorEastAsia" w:eastAsiaTheme="majorEastAsia" w:hAnsiTheme="majorEastAsia" w:cs="Google Sans"/>
          <w:color w:val="444746"/>
          <w:sz w:val="24"/>
          <w:szCs w:val="24"/>
          <w:vertAlign w:val="superscript"/>
        </w:rPr>
        <w:t>6</w:t>
      </w:r>
      <w:r w:rsidRPr="004D1966">
        <w:rPr>
          <w:rFonts w:asciiTheme="majorEastAsia" w:eastAsiaTheme="majorEastAsia" w:hAnsiTheme="majorEastAsia" w:cs="Google Sans"/>
          <w:color w:val="1F1F1F"/>
        </w:rPr>
        <w:t xml:space="preserve"> 직원들의 전반적인 건강 악화는 기업 내 기술 부족(Skills shortages) 현상을 심화시키며, 부족한 인력을 메우기 위해 기존 직원들의 업무량이 가중됨에 따라 또 다른 직원의 번아웃과 질병을 유발하는 파괴적인 악순환을 낳고 있다. BCC 조사에 따르면 무려 67%의 고용주가 심각한 기술 인력 부족을 호소하고 있으며, 68%의 기업은 인력 부족으로 인해 남은 직원들의 업무량이 한계치를 초과했다고 응답했다.</w:t>
      </w:r>
      <w:r w:rsidRPr="004D1966">
        <w:rPr>
          <w:rFonts w:asciiTheme="majorEastAsia" w:eastAsiaTheme="majorEastAsia" w:hAnsiTheme="majorEastAsia" w:cs="Google Sans"/>
          <w:color w:val="444746"/>
          <w:sz w:val="24"/>
          <w:szCs w:val="24"/>
          <w:vertAlign w:val="superscript"/>
        </w:rPr>
        <w:t>6</w:t>
      </w:r>
    </w:p>
    <w:p w14:paraId="6A3EF660" w14:textId="77777777" w:rsidR="009B5916" w:rsidRPr="004D1966" w:rsidRDefault="00000000">
      <w:pPr>
        <w:pStyle w:val="3"/>
        <w:spacing w:before="0" w:after="12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1.3. 정신 건강 위기와 복합 만성 질환의 인과 고리</w:t>
      </w:r>
    </w:p>
    <w:p w14:paraId="0C7EB0AC"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color w:val="444746"/>
          <w:sz w:val="24"/>
          <w:szCs w:val="24"/>
          <w:vertAlign w:val="superscript"/>
        </w:rPr>
      </w:pPr>
      <w:r w:rsidRPr="004D1966">
        <w:rPr>
          <w:rFonts w:asciiTheme="majorEastAsia" w:eastAsiaTheme="majorEastAsia" w:hAnsiTheme="majorEastAsia" w:cs="Google Sans"/>
          <w:color w:val="1F1F1F"/>
        </w:rPr>
        <w:t>장기 질병으로 인한 노동 시장 이탈을 주도하는 핵심적인 원인은 점차 근골격계 질환 중심에서 정신 건강(Mental Health) 위기로 이동하고 있다. 통계청 자료에 따르면 장기 질병으로 인해 비활동 상태에 놓인 인구의 53%에 해당하는 135만 명이 우울증, 심한 불안장애, 또는 신경쇠약(Bad nerves)을 보고했다.</w:t>
      </w:r>
      <w:r w:rsidRPr="004D1966">
        <w:rPr>
          <w:rFonts w:asciiTheme="majorEastAsia" w:eastAsiaTheme="majorEastAsia" w:hAnsiTheme="majorEastAsia" w:cs="Google Sans"/>
          <w:color w:val="444746"/>
          <w:sz w:val="24"/>
          <w:szCs w:val="24"/>
          <w:vertAlign w:val="superscript"/>
        </w:rPr>
        <w:t>6</w:t>
      </w:r>
      <w:r w:rsidRPr="004D1966">
        <w:rPr>
          <w:rFonts w:asciiTheme="majorEastAsia" w:eastAsiaTheme="majorEastAsia" w:hAnsiTheme="majorEastAsia" w:cs="Google Sans"/>
          <w:color w:val="1F1F1F"/>
        </w:rPr>
        <w:t xml:space="preserve"> 특히 이러한 정신 건강의 악화는 코로나19 록다운의 여파를 정통으로 맞은 청년층(Gen Z)에서 더욱 뚜렷하게 나타나고 있으며, 이들이 교육도 받지 않고 고용 상태도 아닌 NEET(Not in Employment, Education, or Training) 상태로 전락하는 현상은 미래 경제 성장의 동력을 앗아가는 치명적인 위협이다.</w:t>
      </w:r>
      <w:r w:rsidRPr="004D1966">
        <w:rPr>
          <w:rFonts w:asciiTheme="majorEastAsia" w:eastAsiaTheme="majorEastAsia" w:hAnsiTheme="majorEastAsia" w:cs="Google Sans"/>
          <w:color w:val="444746"/>
          <w:sz w:val="24"/>
          <w:szCs w:val="24"/>
          <w:vertAlign w:val="superscript"/>
        </w:rPr>
        <w:t>6</w:t>
      </w:r>
    </w:p>
    <w:p w14:paraId="734C6A42"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color w:val="444746"/>
          <w:sz w:val="24"/>
          <w:szCs w:val="24"/>
          <w:vertAlign w:val="superscript"/>
        </w:rPr>
      </w:pPr>
      <w:r w:rsidRPr="004D1966">
        <w:rPr>
          <w:rFonts w:asciiTheme="majorEastAsia" w:eastAsiaTheme="majorEastAsia" w:hAnsiTheme="majorEastAsia" w:cs="Google Sans"/>
          <w:color w:val="1F1F1F"/>
        </w:rPr>
        <w:t>랭커스터 대학교의 노동 재단(Work Foundation)이 9,000명 이상의 영국 근로자를 4년간 추적 관찰한 종단적 연구 결과는 건강 악화와 고용 유지 사이의 가혹한 인과관계를 입증한다. 건강이 악화된 근로자의 9%가 4년 이내에 노동 시장을 완전히 떠났으며, 이 중 절반은 건강이 나빠진 첫 12개월 이내에 퇴사라는 극단적인 선택을 해야만 했다.</w:t>
      </w:r>
      <w:r w:rsidRPr="004D1966">
        <w:rPr>
          <w:rFonts w:asciiTheme="majorEastAsia" w:eastAsiaTheme="majorEastAsia" w:hAnsiTheme="majorEastAsia" w:cs="Google Sans"/>
          <w:color w:val="444746"/>
          <w:sz w:val="24"/>
          <w:szCs w:val="24"/>
          <w:vertAlign w:val="superscript"/>
        </w:rPr>
        <w:t>12</w:t>
      </w:r>
      <w:r w:rsidRPr="004D1966">
        <w:rPr>
          <w:rFonts w:asciiTheme="majorEastAsia" w:eastAsiaTheme="majorEastAsia" w:hAnsiTheme="majorEastAsia" w:cs="Google Sans"/>
          <w:color w:val="1F1F1F"/>
        </w:rPr>
        <w:t xml:space="preserve"> 특히 복합적인 만성 질환을 보유한 경우 노동 시장 이탈 확률은 기하급수적으로 증가한다. 단일 질환을 가진 근로자의 이탈 확률이 건강한 근로자 대비 1.5배 높은 반면, 2개의 질환을 가진 경우는 2.4배, 3개 이상의 복합 질환을 앓고 있는 경우는 5.6배까지 치솟는다.</w:t>
      </w:r>
      <w:r w:rsidRPr="004D1966">
        <w:rPr>
          <w:rFonts w:asciiTheme="majorEastAsia" w:eastAsiaTheme="majorEastAsia" w:hAnsiTheme="majorEastAsia" w:cs="Google Sans"/>
          <w:color w:val="444746"/>
          <w:sz w:val="24"/>
          <w:szCs w:val="24"/>
          <w:vertAlign w:val="superscript"/>
        </w:rPr>
        <w:t>12</w:t>
      </w:r>
      <w:r w:rsidRPr="004D1966">
        <w:rPr>
          <w:rFonts w:asciiTheme="majorEastAsia" w:eastAsiaTheme="majorEastAsia" w:hAnsiTheme="majorEastAsia" w:cs="Google Sans"/>
          <w:color w:val="1F1F1F"/>
        </w:rPr>
        <w:t xml:space="preserve"> 업무의 유연성(Flexibility)이 전혀 보장되지 않는 경직된 작업 환경에서 근무하는 직원은 유연한 환경에서 일하는 직원보다 건강 악화 후 직장을 잃을 확률이 4배나 높다는 사실은 기업 보건 정책의 부재가 개인의 실직으로 직결됨을 증명한다.</w:t>
      </w:r>
      <w:r w:rsidRPr="004D1966">
        <w:rPr>
          <w:rFonts w:asciiTheme="majorEastAsia" w:eastAsiaTheme="majorEastAsia" w:hAnsiTheme="majorEastAsia" w:cs="Google Sans"/>
          <w:color w:val="444746"/>
          <w:sz w:val="24"/>
          <w:szCs w:val="24"/>
          <w:vertAlign w:val="superscript"/>
        </w:rPr>
        <w:t>12</w:t>
      </w:r>
    </w:p>
    <w:p w14:paraId="55955385" w14:textId="77777777" w:rsidR="009B5916" w:rsidRPr="004D1966" w:rsidRDefault="009B5916">
      <w:pPr>
        <w:pBdr>
          <w:top w:val="nil"/>
          <w:left w:val="nil"/>
          <w:bottom w:val="nil"/>
          <w:right w:val="nil"/>
          <w:between w:val="nil"/>
        </w:pBdr>
        <w:spacing w:line="275" w:lineRule="auto"/>
        <w:rPr>
          <w:rFonts w:asciiTheme="majorEastAsia" w:eastAsiaTheme="majorEastAsia" w:hAnsiTheme="majorEastAsia" w:cs="Google Sans"/>
          <w:color w:val="444746"/>
          <w:sz w:val="24"/>
          <w:szCs w:val="24"/>
          <w:vertAlign w:val="superscript"/>
        </w:rPr>
      </w:pPr>
    </w:p>
    <w:tbl>
      <w:tblPr>
        <w:tblStyle w:val="a5"/>
        <w:tblW w:w="9360" w:type="dxa"/>
        <w:tblInd w:w="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680"/>
        <w:gridCol w:w="4680"/>
      </w:tblGrid>
      <w:tr w:rsidR="009B5916" w:rsidRPr="004D1966" w14:paraId="4128FBCB" w14:textId="77777777">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5CB204BC" w14:textId="77777777" w:rsidR="009B5916" w:rsidRPr="004D1966" w:rsidRDefault="00000000">
            <w:pPr>
              <w:pBdr>
                <w:top w:val="nil"/>
                <w:left w:val="nil"/>
                <w:bottom w:val="nil"/>
                <w:right w:val="nil"/>
                <w:between w:val="nil"/>
              </w:pBdr>
              <w:spacing w:before="120" w:after="120" w:line="275" w:lineRule="auto"/>
              <w:rPr>
                <w:rFonts w:asciiTheme="majorEastAsia" w:eastAsiaTheme="majorEastAsia" w:hAnsiTheme="majorEastAsia" w:cs="Google Sans"/>
                <w:b/>
                <w:bCs/>
                <w:color w:val="1F1F1F"/>
              </w:rPr>
            </w:pPr>
            <w:r w:rsidRPr="004D1966">
              <w:rPr>
                <w:rFonts w:asciiTheme="majorEastAsia" w:eastAsiaTheme="majorEastAsia" w:hAnsiTheme="majorEastAsia" w:cs="Google Sans"/>
                <w:b/>
                <w:bCs/>
                <w:color w:val="1F1F1F"/>
              </w:rPr>
              <w:t>경제활동 비활동성(Economic Inactivity) 핵심 지표</w:t>
            </w:r>
          </w:p>
        </w:tc>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346C7DF5" w14:textId="77777777" w:rsidR="009B5916" w:rsidRPr="004D1966" w:rsidRDefault="00000000">
            <w:pPr>
              <w:pBdr>
                <w:top w:val="nil"/>
                <w:left w:val="nil"/>
                <w:bottom w:val="nil"/>
                <w:right w:val="nil"/>
                <w:between w:val="nil"/>
              </w:pBdr>
              <w:spacing w:before="120" w:after="120" w:line="275" w:lineRule="auto"/>
              <w:rPr>
                <w:rFonts w:asciiTheme="majorEastAsia" w:eastAsiaTheme="majorEastAsia" w:hAnsiTheme="majorEastAsia" w:cs="Google Sans"/>
                <w:b/>
                <w:bCs/>
                <w:color w:val="1F1F1F"/>
              </w:rPr>
            </w:pPr>
            <w:r w:rsidRPr="004D1966">
              <w:rPr>
                <w:rFonts w:asciiTheme="majorEastAsia" w:eastAsiaTheme="majorEastAsia" w:hAnsiTheme="majorEastAsia" w:cs="Google Sans"/>
                <w:b/>
                <w:bCs/>
                <w:color w:val="1F1F1F"/>
              </w:rPr>
              <w:t>통계 수치 및 거시경제적 영향</w:t>
            </w:r>
          </w:p>
        </w:tc>
      </w:tr>
      <w:tr w:rsidR="009B5916" w:rsidRPr="004D1966" w14:paraId="01F30218" w14:textId="77777777">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5C5061C7" w14:textId="77777777" w:rsidR="009B5916" w:rsidRPr="004D1966" w:rsidRDefault="00000000">
            <w:pPr>
              <w:pBdr>
                <w:top w:val="nil"/>
                <w:left w:val="nil"/>
                <w:bottom w:val="nil"/>
                <w:right w:val="nil"/>
                <w:between w:val="nil"/>
              </w:pBdr>
              <w:spacing w:before="120" w:after="120" w:line="275" w:lineRule="auto"/>
              <w:rPr>
                <w:rFonts w:asciiTheme="majorEastAsia" w:eastAsiaTheme="majorEastAsia" w:hAnsiTheme="majorEastAsia" w:cs="Google Sans"/>
                <w:b/>
                <w:bCs/>
                <w:color w:val="1F1F1F"/>
              </w:rPr>
            </w:pPr>
            <w:r w:rsidRPr="004D1966">
              <w:rPr>
                <w:rFonts w:asciiTheme="majorEastAsia" w:eastAsiaTheme="majorEastAsia" w:hAnsiTheme="majorEastAsia" w:cs="Google Sans"/>
                <w:b/>
                <w:bCs/>
                <w:color w:val="1F1F1F"/>
              </w:rPr>
              <w:t>장기 질병으로 인한 비활동 인구 규모</w:t>
            </w:r>
          </w:p>
        </w:tc>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12C3F0A1" w14:textId="77777777" w:rsidR="009B5916" w:rsidRPr="004D1966" w:rsidRDefault="00000000">
            <w:pPr>
              <w:pBdr>
                <w:top w:val="nil"/>
                <w:left w:val="nil"/>
                <w:bottom w:val="nil"/>
                <w:right w:val="nil"/>
                <w:between w:val="nil"/>
              </w:pBdr>
              <w:spacing w:line="275" w:lineRule="auto"/>
              <w:rPr>
                <w:rFonts w:asciiTheme="majorEastAsia" w:eastAsiaTheme="majorEastAsia" w:hAnsiTheme="majorEastAsia" w:cs="Google Sans"/>
                <w:color w:val="444746"/>
                <w:sz w:val="24"/>
                <w:szCs w:val="24"/>
                <w:vertAlign w:val="superscript"/>
              </w:rPr>
            </w:pPr>
            <w:r w:rsidRPr="004D1966">
              <w:rPr>
                <w:rFonts w:asciiTheme="majorEastAsia" w:eastAsiaTheme="majorEastAsia" w:hAnsiTheme="majorEastAsia" w:cs="Google Sans"/>
                <w:color w:val="1F1F1F"/>
              </w:rPr>
              <w:t xml:space="preserve">약 280만 명 (영국 전체 노동력의 7%) </w:t>
            </w:r>
            <w:r w:rsidRPr="004D1966">
              <w:rPr>
                <w:rFonts w:asciiTheme="majorEastAsia" w:eastAsiaTheme="majorEastAsia" w:hAnsiTheme="majorEastAsia" w:cs="Google Sans"/>
                <w:color w:val="444746"/>
                <w:sz w:val="24"/>
                <w:szCs w:val="24"/>
                <w:vertAlign w:val="superscript"/>
              </w:rPr>
              <w:t>6</w:t>
            </w:r>
          </w:p>
        </w:tc>
      </w:tr>
      <w:tr w:rsidR="009B5916" w:rsidRPr="004D1966" w14:paraId="4126895C" w14:textId="77777777">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62A40FA2" w14:textId="77777777" w:rsidR="009B5916" w:rsidRPr="004D1966" w:rsidRDefault="00000000">
            <w:pPr>
              <w:pBdr>
                <w:top w:val="nil"/>
                <w:left w:val="nil"/>
                <w:bottom w:val="nil"/>
                <w:right w:val="nil"/>
                <w:between w:val="nil"/>
              </w:pBdr>
              <w:spacing w:before="120" w:after="120" w:line="275" w:lineRule="auto"/>
              <w:rPr>
                <w:rFonts w:asciiTheme="majorEastAsia" w:eastAsiaTheme="majorEastAsia" w:hAnsiTheme="majorEastAsia" w:cs="Google Sans"/>
                <w:b/>
                <w:bCs/>
                <w:color w:val="1F1F1F"/>
              </w:rPr>
            </w:pPr>
            <w:r w:rsidRPr="004D1966">
              <w:rPr>
                <w:rFonts w:asciiTheme="majorEastAsia" w:eastAsiaTheme="majorEastAsia" w:hAnsiTheme="majorEastAsia" w:cs="Google Sans"/>
                <w:b/>
                <w:bCs/>
                <w:color w:val="1F1F1F"/>
              </w:rPr>
              <w:t xml:space="preserve">비활동성 비율 장기 추이 (2013 </w:t>
            </w:r>
            <w:r w:rsidRPr="004D1966">
              <w:rPr>
                <w:rFonts w:ascii="Segoe UI Symbol" w:eastAsiaTheme="majorEastAsia" w:hAnsi="Segoe UI Symbol" w:cs="Segoe UI Symbol"/>
                <w:b/>
                <w:bCs/>
                <w:color w:val="1F1F1F"/>
              </w:rPr>
              <w:t>➔</w:t>
            </w:r>
            <w:r w:rsidRPr="004D1966">
              <w:rPr>
                <w:rFonts w:asciiTheme="majorEastAsia" w:eastAsiaTheme="majorEastAsia" w:hAnsiTheme="majorEastAsia" w:cs="Google Sans"/>
                <w:b/>
                <w:bCs/>
                <w:color w:val="1F1F1F"/>
              </w:rPr>
              <w:t xml:space="preserve"> 2025)</w:t>
            </w:r>
          </w:p>
        </w:tc>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4AF8AD8B" w14:textId="77777777" w:rsidR="009B5916" w:rsidRPr="004D1966" w:rsidRDefault="00000000">
            <w:pPr>
              <w:pBdr>
                <w:top w:val="nil"/>
                <w:left w:val="nil"/>
                <w:bottom w:val="nil"/>
                <w:right w:val="nil"/>
                <w:between w:val="nil"/>
              </w:pBdr>
              <w:spacing w:line="275" w:lineRule="auto"/>
              <w:rPr>
                <w:rFonts w:asciiTheme="majorEastAsia" w:eastAsiaTheme="majorEastAsia" w:hAnsiTheme="majorEastAsia" w:cs="Google Sans"/>
                <w:color w:val="444746"/>
                <w:sz w:val="24"/>
                <w:szCs w:val="24"/>
                <w:vertAlign w:val="superscript"/>
              </w:rPr>
            </w:pPr>
            <w:r w:rsidRPr="004D1966">
              <w:rPr>
                <w:rFonts w:asciiTheme="majorEastAsia" w:eastAsiaTheme="majorEastAsia" w:hAnsiTheme="majorEastAsia" w:cs="Google Sans"/>
                <w:color w:val="1F1F1F"/>
              </w:rPr>
              <w:t xml:space="preserve">2.5%에서 5.5%로 두 배 이상 급증 </w:t>
            </w:r>
            <w:r w:rsidRPr="004D1966">
              <w:rPr>
                <w:rFonts w:asciiTheme="majorEastAsia" w:eastAsiaTheme="majorEastAsia" w:hAnsiTheme="majorEastAsia" w:cs="Google Sans"/>
                <w:color w:val="444746"/>
                <w:sz w:val="24"/>
                <w:szCs w:val="24"/>
                <w:vertAlign w:val="superscript"/>
              </w:rPr>
              <w:t>9</w:t>
            </w:r>
          </w:p>
        </w:tc>
      </w:tr>
      <w:tr w:rsidR="009B5916" w:rsidRPr="004D1966" w14:paraId="229785C2" w14:textId="77777777">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7E705C6B" w14:textId="77777777" w:rsidR="009B5916" w:rsidRPr="004D1966" w:rsidRDefault="00000000">
            <w:pPr>
              <w:pBdr>
                <w:top w:val="nil"/>
                <w:left w:val="nil"/>
                <w:bottom w:val="nil"/>
                <w:right w:val="nil"/>
                <w:between w:val="nil"/>
              </w:pBdr>
              <w:spacing w:before="120" w:after="120" w:line="275" w:lineRule="auto"/>
              <w:rPr>
                <w:rFonts w:asciiTheme="majorEastAsia" w:eastAsiaTheme="majorEastAsia" w:hAnsiTheme="majorEastAsia" w:cs="Google Sans"/>
                <w:b/>
                <w:bCs/>
                <w:color w:val="1F1F1F"/>
              </w:rPr>
            </w:pPr>
            <w:r w:rsidRPr="004D1966">
              <w:rPr>
                <w:rFonts w:asciiTheme="majorEastAsia" w:eastAsiaTheme="majorEastAsia" w:hAnsiTheme="majorEastAsia" w:cs="Google Sans"/>
                <w:b/>
                <w:bCs/>
                <w:color w:val="1F1F1F"/>
              </w:rPr>
              <w:t>연간 노동 시장 완전 이탈자 수</w:t>
            </w:r>
          </w:p>
        </w:tc>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37967872" w14:textId="77777777" w:rsidR="009B5916" w:rsidRPr="004D1966" w:rsidRDefault="00000000">
            <w:pPr>
              <w:pBdr>
                <w:top w:val="nil"/>
                <w:left w:val="nil"/>
                <w:bottom w:val="nil"/>
                <w:right w:val="nil"/>
                <w:between w:val="nil"/>
              </w:pBdr>
              <w:spacing w:line="275" w:lineRule="auto"/>
              <w:rPr>
                <w:rFonts w:asciiTheme="majorEastAsia" w:eastAsiaTheme="majorEastAsia" w:hAnsiTheme="majorEastAsia" w:cs="Google Sans"/>
                <w:color w:val="444746"/>
                <w:sz w:val="24"/>
                <w:szCs w:val="24"/>
                <w:vertAlign w:val="superscript"/>
              </w:rPr>
            </w:pPr>
            <w:r w:rsidRPr="004D1966">
              <w:rPr>
                <w:rFonts w:asciiTheme="majorEastAsia" w:eastAsiaTheme="majorEastAsia" w:hAnsiTheme="majorEastAsia" w:cs="Google Sans"/>
                <w:color w:val="1F1F1F"/>
              </w:rPr>
              <w:t xml:space="preserve">연간 약 30만 명 (건강 악화가 주원인) </w:t>
            </w:r>
            <w:r w:rsidRPr="004D1966">
              <w:rPr>
                <w:rFonts w:asciiTheme="majorEastAsia" w:eastAsiaTheme="majorEastAsia" w:hAnsiTheme="majorEastAsia" w:cs="Google Sans"/>
                <w:color w:val="444746"/>
                <w:sz w:val="24"/>
                <w:szCs w:val="24"/>
                <w:vertAlign w:val="superscript"/>
              </w:rPr>
              <w:t>6</w:t>
            </w:r>
          </w:p>
        </w:tc>
      </w:tr>
      <w:tr w:rsidR="009B5916" w:rsidRPr="004D1966" w14:paraId="296A63D1" w14:textId="77777777">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29F31CE0" w14:textId="77777777" w:rsidR="009B5916" w:rsidRPr="004D1966" w:rsidRDefault="00000000">
            <w:pPr>
              <w:pBdr>
                <w:top w:val="nil"/>
                <w:left w:val="nil"/>
                <w:bottom w:val="nil"/>
                <w:right w:val="nil"/>
                <w:between w:val="nil"/>
              </w:pBdr>
              <w:spacing w:before="120" w:after="120" w:line="275" w:lineRule="auto"/>
              <w:rPr>
                <w:rFonts w:asciiTheme="majorEastAsia" w:eastAsiaTheme="majorEastAsia" w:hAnsiTheme="majorEastAsia" w:cs="Google Sans"/>
                <w:b/>
                <w:bCs/>
                <w:color w:val="1F1F1F"/>
              </w:rPr>
            </w:pPr>
            <w:r w:rsidRPr="004D1966">
              <w:rPr>
                <w:rFonts w:asciiTheme="majorEastAsia" w:eastAsiaTheme="majorEastAsia" w:hAnsiTheme="majorEastAsia" w:cs="Google Sans"/>
                <w:b/>
                <w:bCs/>
                <w:color w:val="1F1F1F"/>
              </w:rPr>
              <w:t>경제적 생산성 손실 추산액</w:t>
            </w:r>
          </w:p>
        </w:tc>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6EA77618" w14:textId="77777777" w:rsidR="009B5916" w:rsidRPr="004D1966" w:rsidRDefault="00000000">
            <w:pPr>
              <w:pBdr>
                <w:top w:val="nil"/>
                <w:left w:val="nil"/>
                <w:bottom w:val="nil"/>
                <w:right w:val="nil"/>
                <w:between w:val="nil"/>
              </w:pBdr>
              <w:spacing w:line="275" w:lineRule="auto"/>
              <w:rPr>
                <w:rFonts w:asciiTheme="majorEastAsia" w:eastAsiaTheme="majorEastAsia" w:hAnsiTheme="majorEastAsia" w:cs="Google Sans"/>
                <w:color w:val="444746"/>
                <w:sz w:val="24"/>
                <w:szCs w:val="24"/>
                <w:vertAlign w:val="superscript"/>
              </w:rPr>
            </w:pPr>
            <w:r w:rsidRPr="004D1966">
              <w:rPr>
                <w:rFonts w:asciiTheme="majorEastAsia" w:eastAsiaTheme="majorEastAsia" w:hAnsiTheme="majorEastAsia" w:cs="Google Sans"/>
                <w:color w:val="1F1F1F"/>
              </w:rPr>
              <w:t xml:space="preserve">연간 최소 1,350억 파운드 (복지 지출은 제외된 수치) </w:t>
            </w:r>
            <w:r w:rsidRPr="004D1966">
              <w:rPr>
                <w:rFonts w:asciiTheme="majorEastAsia" w:eastAsiaTheme="majorEastAsia" w:hAnsiTheme="majorEastAsia" w:cs="Google Sans"/>
                <w:color w:val="444746"/>
                <w:sz w:val="24"/>
                <w:szCs w:val="24"/>
                <w:vertAlign w:val="superscript"/>
              </w:rPr>
              <w:t>6</w:t>
            </w:r>
          </w:p>
        </w:tc>
      </w:tr>
      <w:tr w:rsidR="009B5916" w:rsidRPr="004D1966" w14:paraId="1DAA0AA8" w14:textId="77777777">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71840E62" w14:textId="77777777" w:rsidR="009B5916" w:rsidRPr="004D1966" w:rsidRDefault="00000000">
            <w:pPr>
              <w:pBdr>
                <w:top w:val="nil"/>
                <w:left w:val="nil"/>
                <w:bottom w:val="nil"/>
                <w:right w:val="nil"/>
                <w:between w:val="nil"/>
              </w:pBdr>
              <w:spacing w:before="120" w:after="120" w:line="275" w:lineRule="auto"/>
              <w:rPr>
                <w:rFonts w:asciiTheme="majorEastAsia" w:eastAsiaTheme="majorEastAsia" w:hAnsiTheme="majorEastAsia" w:cs="Google Sans"/>
                <w:b/>
                <w:bCs/>
                <w:color w:val="1F1F1F"/>
              </w:rPr>
            </w:pPr>
            <w:r w:rsidRPr="004D1966">
              <w:rPr>
                <w:rFonts w:asciiTheme="majorEastAsia" w:eastAsiaTheme="majorEastAsia" w:hAnsiTheme="majorEastAsia" w:cs="Google Sans"/>
                <w:b/>
                <w:bCs/>
                <w:color w:val="1F1F1F"/>
              </w:rPr>
              <w:t>프리젠티즘(Presenteeism) 누적 손실</w:t>
            </w:r>
          </w:p>
        </w:tc>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7228AE0D" w14:textId="77777777" w:rsidR="009B5916" w:rsidRPr="004D1966" w:rsidRDefault="00000000">
            <w:pPr>
              <w:pBdr>
                <w:top w:val="nil"/>
                <w:left w:val="nil"/>
                <w:bottom w:val="nil"/>
                <w:right w:val="nil"/>
                <w:between w:val="nil"/>
              </w:pBdr>
              <w:spacing w:line="275" w:lineRule="auto"/>
              <w:rPr>
                <w:rFonts w:asciiTheme="majorEastAsia" w:eastAsiaTheme="majorEastAsia" w:hAnsiTheme="majorEastAsia" w:cs="Google Sans"/>
                <w:color w:val="444746"/>
                <w:sz w:val="24"/>
                <w:szCs w:val="24"/>
                <w:vertAlign w:val="superscript"/>
              </w:rPr>
            </w:pPr>
            <w:r w:rsidRPr="004D1966">
              <w:rPr>
                <w:rFonts w:asciiTheme="majorEastAsia" w:eastAsiaTheme="majorEastAsia" w:hAnsiTheme="majorEastAsia" w:cs="Google Sans"/>
                <w:color w:val="1F1F1F"/>
              </w:rPr>
              <w:t xml:space="preserve">2018년 이후 약 2,500억 파운드 추가 손실 발생 </w:t>
            </w:r>
            <w:r w:rsidRPr="004D1966">
              <w:rPr>
                <w:rFonts w:asciiTheme="majorEastAsia" w:eastAsiaTheme="majorEastAsia" w:hAnsiTheme="majorEastAsia" w:cs="Google Sans"/>
                <w:color w:val="444746"/>
                <w:sz w:val="24"/>
                <w:szCs w:val="24"/>
                <w:vertAlign w:val="superscript"/>
              </w:rPr>
              <w:t>6</w:t>
            </w:r>
          </w:p>
        </w:tc>
      </w:tr>
      <w:tr w:rsidR="009B5916" w:rsidRPr="004D1966" w14:paraId="6BA80833" w14:textId="77777777">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1F679218" w14:textId="77777777" w:rsidR="009B5916" w:rsidRPr="004D1966" w:rsidRDefault="00000000">
            <w:pPr>
              <w:pBdr>
                <w:top w:val="nil"/>
                <w:left w:val="nil"/>
                <w:bottom w:val="nil"/>
                <w:right w:val="nil"/>
                <w:between w:val="nil"/>
              </w:pBdr>
              <w:spacing w:before="120" w:after="120" w:line="275" w:lineRule="auto"/>
              <w:rPr>
                <w:rFonts w:asciiTheme="majorEastAsia" w:eastAsiaTheme="majorEastAsia" w:hAnsiTheme="majorEastAsia" w:cs="Google Sans"/>
                <w:b/>
                <w:bCs/>
                <w:color w:val="1F1F1F"/>
              </w:rPr>
            </w:pPr>
            <w:r w:rsidRPr="004D1966">
              <w:rPr>
                <w:rFonts w:asciiTheme="majorEastAsia" w:eastAsiaTheme="majorEastAsia" w:hAnsiTheme="majorEastAsia" w:cs="Google Sans"/>
                <w:b/>
                <w:bCs/>
                <w:color w:val="1F1F1F"/>
              </w:rPr>
              <w:t>정신 질환(우울증/불안) 동반 비율</w:t>
            </w:r>
          </w:p>
        </w:tc>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635C6BFF" w14:textId="77777777" w:rsidR="009B5916" w:rsidRPr="004D1966" w:rsidRDefault="00000000">
            <w:pPr>
              <w:pBdr>
                <w:top w:val="nil"/>
                <w:left w:val="nil"/>
                <w:bottom w:val="nil"/>
                <w:right w:val="nil"/>
                <w:between w:val="nil"/>
              </w:pBdr>
              <w:spacing w:line="275" w:lineRule="auto"/>
              <w:rPr>
                <w:rFonts w:asciiTheme="majorEastAsia" w:eastAsiaTheme="majorEastAsia" w:hAnsiTheme="majorEastAsia" w:cs="Google Sans"/>
                <w:color w:val="444746"/>
                <w:sz w:val="24"/>
                <w:szCs w:val="24"/>
                <w:vertAlign w:val="superscript"/>
              </w:rPr>
            </w:pPr>
            <w:r w:rsidRPr="004D1966">
              <w:rPr>
                <w:rFonts w:asciiTheme="majorEastAsia" w:eastAsiaTheme="majorEastAsia" w:hAnsiTheme="majorEastAsia" w:cs="Google Sans"/>
                <w:color w:val="1F1F1F"/>
              </w:rPr>
              <w:t xml:space="preserve">장기 질병 이탈자의 53% (약 135만 명) </w:t>
            </w:r>
            <w:r w:rsidRPr="004D1966">
              <w:rPr>
                <w:rFonts w:asciiTheme="majorEastAsia" w:eastAsiaTheme="majorEastAsia" w:hAnsiTheme="majorEastAsia" w:cs="Google Sans"/>
                <w:color w:val="444746"/>
                <w:sz w:val="24"/>
                <w:szCs w:val="24"/>
                <w:vertAlign w:val="superscript"/>
              </w:rPr>
              <w:t>6</w:t>
            </w:r>
          </w:p>
        </w:tc>
      </w:tr>
      <w:tr w:rsidR="009B5916" w:rsidRPr="004D1966" w14:paraId="7D799BE4" w14:textId="77777777">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284F8251" w14:textId="77777777" w:rsidR="009B5916" w:rsidRPr="004D1966" w:rsidRDefault="00000000">
            <w:pPr>
              <w:pBdr>
                <w:top w:val="nil"/>
                <w:left w:val="nil"/>
                <w:bottom w:val="nil"/>
                <w:right w:val="nil"/>
                <w:between w:val="nil"/>
              </w:pBdr>
              <w:spacing w:before="120" w:after="120" w:line="275" w:lineRule="auto"/>
              <w:rPr>
                <w:rFonts w:asciiTheme="majorEastAsia" w:eastAsiaTheme="majorEastAsia" w:hAnsiTheme="majorEastAsia" w:cs="Google Sans"/>
                <w:b/>
                <w:bCs/>
                <w:color w:val="1F1F1F"/>
              </w:rPr>
            </w:pPr>
            <w:r w:rsidRPr="004D1966">
              <w:rPr>
                <w:rFonts w:asciiTheme="majorEastAsia" w:eastAsiaTheme="majorEastAsia" w:hAnsiTheme="majorEastAsia" w:cs="Google Sans"/>
                <w:b/>
                <w:bCs/>
                <w:color w:val="1F1F1F"/>
              </w:rPr>
              <w:t>질환 개수에 따른 노동 시장 이탈 확률</w:t>
            </w:r>
          </w:p>
        </w:tc>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0D472596" w14:textId="77777777" w:rsidR="009B5916" w:rsidRPr="004D1966" w:rsidRDefault="00000000">
            <w:pPr>
              <w:pBdr>
                <w:top w:val="nil"/>
                <w:left w:val="nil"/>
                <w:bottom w:val="nil"/>
                <w:right w:val="nil"/>
                <w:between w:val="nil"/>
              </w:pBdr>
              <w:spacing w:line="275" w:lineRule="auto"/>
              <w:rPr>
                <w:rFonts w:asciiTheme="majorEastAsia" w:eastAsiaTheme="majorEastAsia" w:hAnsiTheme="majorEastAsia" w:cs="Google Sans"/>
                <w:color w:val="444746"/>
                <w:sz w:val="24"/>
                <w:szCs w:val="24"/>
                <w:vertAlign w:val="superscript"/>
              </w:rPr>
            </w:pPr>
            <w:r w:rsidRPr="004D1966">
              <w:rPr>
                <w:rFonts w:asciiTheme="majorEastAsia" w:eastAsiaTheme="majorEastAsia" w:hAnsiTheme="majorEastAsia" w:cs="Google Sans"/>
                <w:color w:val="1F1F1F"/>
              </w:rPr>
              <w:t xml:space="preserve">2개 질환 시 2.4배 증가, 3개 이상 질환 시 5.6배 급증 </w:t>
            </w:r>
            <w:r w:rsidRPr="004D1966">
              <w:rPr>
                <w:rFonts w:asciiTheme="majorEastAsia" w:eastAsiaTheme="majorEastAsia" w:hAnsiTheme="majorEastAsia" w:cs="Google Sans"/>
                <w:color w:val="444746"/>
                <w:sz w:val="24"/>
                <w:szCs w:val="24"/>
                <w:vertAlign w:val="superscript"/>
              </w:rPr>
              <w:t>12</w:t>
            </w:r>
          </w:p>
        </w:tc>
      </w:tr>
    </w:tbl>
    <w:p w14:paraId="3D5E8712" w14:textId="77777777" w:rsidR="009B5916" w:rsidRPr="004D1966" w:rsidRDefault="00000000">
      <w:pPr>
        <w:pStyle w:val="2"/>
        <w:spacing w:before="0" w:after="12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2. 국민보건서비스(NHS)의 시스템적 위기와 다라지(Darzi) 리뷰의 진단</w:t>
      </w:r>
    </w:p>
    <w:p w14:paraId="6E708026"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이러한 유례없는 노동 시장 이탈의 기저에는 환자를 제때 치료하고 직장으로 복귀시켜야 할 공공 보건의료 시스템의 기능 부전이 자리 잡고 있다. 보건 시스템과 경제 생산성은 불가분의 관계에 있으며, 병원의 대기 명단이 길어질수록 실업 급여와 산재 보상을 청구하는 줄 역시 길어질 수밖에 없다.</w:t>
      </w:r>
    </w:p>
    <w:p w14:paraId="6CF11E00"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color w:val="444746"/>
          <w:sz w:val="24"/>
          <w:szCs w:val="24"/>
          <w:vertAlign w:val="superscript"/>
        </w:rPr>
      </w:pPr>
      <w:r w:rsidRPr="004D1966">
        <w:rPr>
          <w:rFonts w:asciiTheme="majorEastAsia" w:eastAsiaTheme="majorEastAsia" w:hAnsiTheme="majorEastAsia" w:cs="Google Sans"/>
          <w:color w:val="1F1F1F"/>
        </w:rPr>
        <w:t>영국 정부의 의뢰로 외과의사이자 전 보건부 장관인 아라 다라지 경(Professor Lord Ara Darzi)이 이끈 'NHS 독립 조사 보고서(The Independent Investigation of the NHS in England)'는 현재의 NHS가 말 그대로 '위독한 상태(Critical condition)'에 놓여 있다고 진단했다.</w:t>
      </w:r>
      <w:r w:rsidRPr="004D1966">
        <w:rPr>
          <w:rFonts w:asciiTheme="majorEastAsia" w:eastAsiaTheme="majorEastAsia" w:hAnsiTheme="majorEastAsia" w:cs="Google Sans"/>
          <w:color w:val="444746"/>
          <w:sz w:val="24"/>
          <w:szCs w:val="24"/>
          <w:vertAlign w:val="superscript"/>
        </w:rPr>
        <w:t>13</w:t>
      </w:r>
      <w:r w:rsidRPr="004D1966">
        <w:rPr>
          <w:rFonts w:asciiTheme="majorEastAsia" w:eastAsiaTheme="majorEastAsia" w:hAnsiTheme="majorEastAsia" w:cs="Google Sans"/>
          <w:color w:val="1F1F1F"/>
        </w:rPr>
        <w:t xml:space="preserve"> 다라지 리뷰는 의료 시스템의 붕괴를 초래한 네 가지 핵심적인 구조적 요인을 지적한다. 첫째, 과거 보수당 정부 주도로 이어진 장기간의 긴축 재정(Austerity)과 제한된 자금 지원, 둘째, 코로나19 팬데믹이 남긴 막대한 후유증과 적체, 셋째, 환자의 목소리 결여와 의료진의 극심한 번아웃, 마지막으로 비효율적인 경영 구조와 관리 역량의 고갈이다.</w:t>
      </w:r>
      <w:r w:rsidRPr="004D1966">
        <w:rPr>
          <w:rFonts w:asciiTheme="majorEastAsia" w:eastAsiaTheme="majorEastAsia" w:hAnsiTheme="majorEastAsia" w:cs="Google Sans"/>
          <w:color w:val="444746"/>
          <w:sz w:val="24"/>
          <w:szCs w:val="24"/>
          <w:vertAlign w:val="superscript"/>
        </w:rPr>
        <w:t>13</w:t>
      </w:r>
    </w:p>
    <w:p w14:paraId="7918CAED"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color w:val="444746"/>
          <w:sz w:val="24"/>
          <w:szCs w:val="24"/>
          <w:vertAlign w:val="superscript"/>
        </w:rPr>
      </w:pPr>
      <w:r w:rsidRPr="004D1966">
        <w:rPr>
          <w:rFonts w:asciiTheme="majorEastAsia" w:eastAsiaTheme="majorEastAsia" w:hAnsiTheme="majorEastAsia" w:cs="Google Sans"/>
          <w:color w:val="1F1F1F"/>
        </w:rPr>
        <w:t>가장 치명적인 정책 실패로 지목된 것은 자본 지출(Capital spending)의 심각한 부족이다. 지난 15년간 인프라 및 기술 혁신에 투자되어야 할 자본 예산에서 무려 370억 파운드가 부족하게 배정되었으며, 특히 2014년에서 2019년 사이에는 일상적인 병원 운영 적자를 메우기 위해 43억 파운드의 자본 예산이 전용되는 사태까지 벌어졌다.</w:t>
      </w:r>
      <w:r w:rsidRPr="004D1966">
        <w:rPr>
          <w:rFonts w:asciiTheme="majorEastAsia" w:eastAsiaTheme="majorEastAsia" w:hAnsiTheme="majorEastAsia" w:cs="Google Sans"/>
          <w:color w:val="444746"/>
          <w:sz w:val="24"/>
          <w:szCs w:val="24"/>
          <w:vertAlign w:val="superscript"/>
        </w:rPr>
        <w:t>2</w:t>
      </w:r>
      <w:r w:rsidRPr="004D1966">
        <w:rPr>
          <w:rFonts w:asciiTheme="majorEastAsia" w:eastAsiaTheme="majorEastAsia" w:hAnsiTheme="majorEastAsia" w:cs="Google Sans"/>
          <w:color w:val="1F1F1F"/>
        </w:rPr>
        <w:t xml:space="preserve"> 미래를 대비할 디지털 기술, 인공지능(AI), 최첨단 진단 기기 등에 대한 투자가 삭감되면서, NHS는 경제 전반을 휩쓸고 있는 디지털 트랜스포메이션의 흐름에 합류하지 못하고 아날로그의 늪에 빠지게 되었다.</w:t>
      </w:r>
      <w:r w:rsidRPr="004D1966">
        <w:rPr>
          <w:rFonts w:asciiTheme="majorEastAsia" w:eastAsiaTheme="majorEastAsia" w:hAnsiTheme="majorEastAsia" w:cs="Google Sans"/>
          <w:color w:val="444746"/>
          <w:sz w:val="24"/>
          <w:szCs w:val="24"/>
          <w:vertAlign w:val="superscript"/>
        </w:rPr>
        <w:t>2</w:t>
      </w:r>
    </w:p>
    <w:p w14:paraId="472DD9B6"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결과적으로 지난 10년 동안 수술, 암 치료, 정신 건강 서비스 등 주요 의료 부문에서 대기 시간 목표치는 단 한 번도 달성되지 못했다.</w:t>
      </w:r>
      <w:r w:rsidRPr="004D1966">
        <w:rPr>
          <w:rFonts w:asciiTheme="majorEastAsia" w:eastAsiaTheme="majorEastAsia" w:hAnsiTheme="majorEastAsia" w:cs="Google Sans"/>
          <w:color w:val="444746"/>
          <w:sz w:val="24"/>
          <w:szCs w:val="24"/>
          <w:vertAlign w:val="superscript"/>
        </w:rPr>
        <w:t>15</w:t>
      </w:r>
      <w:r w:rsidRPr="004D1966">
        <w:rPr>
          <w:rFonts w:asciiTheme="majorEastAsia" w:eastAsiaTheme="majorEastAsia" w:hAnsiTheme="majorEastAsia" w:cs="Google Sans"/>
          <w:color w:val="1F1F1F"/>
        </w:rPr>
        <w:t xml:space="preserve"> 의료 현장에서는 간호사와 조산사를 비롯한 필수 의료 인력들이 살인적인 업무 강도를 견디지 못하고 쓰러지고 있으며, 이로 인한 의료진의 병가는 직원 1인당 연간 1개월에 달할 정도로 최악의 상황을 맞고 있다.</w:t>
      </w:r>
      <w:r w:rsidRPr="004D1966">
        <w:rPr>
          <w:rFonts w:asciiTheme="majorEastAsia" w:eastAsiaTheme="majorEastAsia" w:hAnsiTheme="majorEastAsia" w:cs="Google Sans"/>
          <w:color w:val="444746"/>
          <w:sz w:val="24"/>
          <w:szCs w:val="24"/>
          <w:vertAlign w:val="superscript"/>
        </w:rPr>
        <w:t>15</w:t>
      </w:r>
      <w:r w:rsidRPr="004D1966">
        <w:rPr>
          <w:rFonts w:asciiTheme="majorEastAsia" w:eastAsiaTheme="majorEastAsia" w:hAnsiTheme="majorEastAsia" w:cs="Google Sans"/>
          <w:color w:val="1F1F1F"/>
        </w:rPr>
        <w:t xml:space="preserve"> 이러한 생산성의 저하는 단순히 의료진의 업무량을 줄여주는 것이 아니라, 업무에서 느끼는 보람과 즐거움을 완전히 파괴(Crush)하여 의료 인력의 이탈을 부추기는 요인이 되고 있다.</w:t>
      </w:r>
      <w:r w:rsidRPr="004D1966">
        <w:rPr>
          <w:rFonts w:asciiTheme="majorEastAsia" w:eastAsiaTheme="majorEastAsia" w:hAnsiTheme="majorEastAsia" w:cs="Google Sans"/>
          <w:color w:val="444746"/>
          <w:sz w:val="24"/>
          <w:szCs w:val="24"/>
          <w:vertAlign w:val="superscript"/>
        </w:rPr>
        <w:t>16</w:t>
      </w:r>
      <w:r w:rsidRPr="004D1966">
        <w:rPr>
          <w:rFonts w:asciiTheme="majorEastAsia" w:eastAsiaTheme="majorEastAsia" w:hAnsiTheme="majorEastAsia" w:cs="Google Sans"/>
          <w:color w:val="1F1F1F"/>
        </w:rPr>
        <w:t xml:space="preserve"> 질병 부담(Disease burden)의 양상 또한 급성 전염병에서 장기적인 관리와 돌봄이 필요한 만성 질환 및 정신 질환 중심으로 급격히 이동하고 있지만, 자원의 배분은 여전히 고비용의 대형 병원 인프라 유지에 집중되어 있어 예방적 치료(Preventative care)로의 전환이 철저히 실패했다.</w:t>
      </w:r>
      <w:r w:rsidRPr="004D1966">
        <w:rPr>
          <w:rFonts w:asciiTheme="majorEastAsia" w:eastAsiaTheme="majorEastAsia" w:hAnsiTheme="majorEastAsia" w:cs="Google Sans"/>
          <w:color w:val="444746"/>
          <w:sz w:val="24"/>
          <w:szCs w:val="24"/>
          <w:vertAlign w:val="superscript"/>
        </w:rPr>
        <w:t>13</w:t>
      </w:r>
      <w:r w:rsidRPr="004D1966">
        <w:rPr>
          <w:rFonts w:asciiTheme="majorEastAsia" w:eastAsiaTheme="majorEastAsia" w:hAnsiTheme="majorEastAsia" w:cs="Google Sans"/>
          <w:color w:val="1F1F1F"/>
        </w:rPr>
        <w:t xml:space="preserve"> 초기 개입(Early intervention)을 통해 충분히 치료하고 직장으로 복귀시킬 수 있었던 수많은 근로자들이 병원의 끝없는 대기 명단 속에서 병을 키우고, 결국 경제적 자립 능력을 상실한 채 비활동 인구로 전락하는 비극적인 시스템의 오작동이 발생한 것이다.</w:t>
      </w:r>
    </w:p>
    <w:p w14:paraId="4505FF72" w14:textId="77777777" w:rsidR="009B5916" w:rsidRPr="004D1966" w:rsidRDefault="00000000">
      <w:pPr>
        <w:pStyle w:val="2"/>
        <w:spacing w:before="0" w:after="12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3. NHS 10개년 계획: 보건의료 시스템의 거대한 철학적 전환</w:t>
      </w:r>
    </w:p>
    <w:p w14:paraId="12259A93"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color w:val="444746"/>
          <w:sz w:val="24"/>
          <w:szCs w:val="24"/>
          <w:vertAlign w:val="superscript"/>
        </w:rPr>
      </w:pPr>
      <w:r w:rsidRPr="004D1966">
        <w:rPr>
          <w:rFonts w:asciiTheme="majorEastAsia" w:eastAsiaTheme="majorEastAsia" w:hAnsiTheme="majorEastAsia" w:cs="Google Sans"/>
          <w:color w:val="1F1F1F"/>
        </w:rPr>
        <w:t>붕괴 직전의 의료 시스템을 재건하고 노동 인구의 건강을 회복하기 위해, 영국 정부는 향후 10년의 보건의료 청사진을 담은 '미래를 위한 적합성: 잉글랜드 NHS 10개년 건강 계획(Fit for the future: 10 Year Health Plan for England)'을 발표했다.</w:t>
      </w:r>
      <w:r w:rsidRPr="004D1966">
        <w:rPr>
          <w:rFonts w:asciiTheme="majorEastAsia" w:eastAsiaTheme="majorEastAsia" w:hAnsiTheme="majorEastAsia" w:cs="Google Sans"/>
          <w:color w:val="444746"/>
          <w:sz w:val="24"/>
          <w:szCs w:val="24"/>
          <w:vertAlign w:val="superscript"/>
        </w:rPr>
        <w:t>1</w:t>
      </w:r>
      <w:r w:rsidRPr="004D1966">
        <w:rPr>
          <w:rFonts w:asciiTheme="majorEastAsia" w:eastAsiaTheme="majorEastAsia" w:hAnsiTheme="majorEastAsia" w:cs="Google Sans"/>
          <w:color w:val="1F1F1F"/>
        </w:rPr>
        <w:t xml:space="preserve"> 이 계획은 단순히 병원을 더 짓고 의사를 더 고용하는 양적 팽창을 넘어서, 질병을 바라보고 관리하는 철학 자체를 뒤바꾸는 3대 근본적 패러다임 전환(3 Shifts)을 천명하고 있다.</w:t>
      </w:r>
      <w:r w:rsidRPr="004D1966">
        <w:rPr>
          <w:rFonts w:asciiTheme="majorEastAsia" w:eastAsiaTheme="majorEastAsia" w:hAnsiTheme="majorEastAsia" w:cs="Google Sans"/>
          <w:color w:val="444746"/>
          <w:sz w:val="24"/>
          <w:szCs w:val="24"/>
          <w:vertAlign w:val="superscript"/>
        </w:rPr>
        <w:t>1</w:t>
      </w:r>
    </w:p>
    <w:p w14:paraId="47A7AAEE" w14:textId="77777777" w:rsidR="009B5916" w:rsidRPr="004D1966" w:rsidRDefault="00000000">
      <w:pPr>
        <w:pStyle w:val="3"/>
        <w:spacing w:before="0" w:after="12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3.1. 전환 1: 아날로그에서 디지털로 (Analogue to Digital)</w:t>
      </w:r>
    </w:p>
    <w:p w14:paraId="065548C7"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color w:val="444746"/>
          <w:sz w:val="24"/>
          <w:szCs w:val="24"/>
          <w:vertAlign w:val="superscript"/>
        </w:rPr>
      </w:pPr>
      <w:r w:rsidRPr="004D1966">
        <w:rPr>
          <w:rFonts w:asciiTheme="majorEastAsia" w:eastAsiaTheme="majorEastAsia" w:hAnsiTheme="majorEastAsia" w:cs="Google Sans"/>
          <w:color w:val="1F1F1F"/>
        </w:rPr>
        <w:t>첫 번째 전환은 물리적 인프라 중심의 의료에서 데이터 중심의 맞춤형 의료, 즉 '벽돌에서 클릭으로(From bricks to clicks)'의 이행이다.</w:t>
      </w:r>
      <w:r w:rsidRPr="004D1966">
        <w:rPr>
          <w:rFonts w:asciiTheme="majorEastAsia" w:eastAsiaTheme="majorEastAsia" w:hAnsiTheme="majorEastAsia" w:cs="Google Sans"/>
          <w:color w:val="444746"/>
          <w:sz w:val="24"/>
          <w:szCs w:val="24"/>
          <w:vertAlign w:val="superscript"/>
        </w:rPr>
        <w:t>17</w:t>
      </w:r>
      <w:r w:rsidRPr="004D1966">
        <w:rPr>
          <w:rFonts w:asciiTheme="majorEastAsia" w:eastAsiaTheme="majorEastAsia" w:hAnsiTheme="majorEastAsia" w:cs="Google Sans"/>
          <w:color w:val="1F1F1F"/>
        </w:rPr>
        <w:t xml:space="preserve"> 이 전환의 핵심 공약은 NHS 역사상 최초로 모든 시민에게 완벽하게 통합된 '단일 환자 기록(Single Patient Record)'을 제공하는 것이다.</w:t>
      </w:r>
      <w:r w:rsidRPr="004D1966">
        <w:rPr>
          <w:rFonts w:asciiTheme="majorEastAsia" w:eastAsiaTheme="majorEastAsia" w:hAnsiTheme="majorEastAsia" w:cs="Google Sans"/>
          <w:color w:val="444746"/>
          <w:sz w:val="24"/>
          <w:szCs w:val="24"/>
          <w:vertAlign w:val="superscript"/>
        </w:rPr>
        <w:t>17</w:t>
      </w:r>
      <w:r w:rsidRPr="004D1966">
        <w:rPr>
          <w:rFonts w:asciiTheme="majorEastAsia" w:eastAsiaTheme="majorEastAsia" w:hAnsiTheme="majorEastAsia" w:cs="Google Sans"/>
          <w:color w:val="1F1F1F"/>
        </w:rPr>
        <w:t xml:space="preserve"> 지금까지 환자들은 GP(일반의), 전문의, 지역사회 간호사, 심지어 기업 보건 관리자에게 갈 때마다 자신의 병력을 반복해서 설명해야 하는 파편화된 사일로(Silo) 시스템의 피해자였다.</w:t>
      </w:r>
      <w:r w:rsidRPr="004D1966">
        <w:rPr>
          <w:rFonts w:asciiTheme="majorEastAsia" w:eastAsiaTheme="majorEastAsia" w:hAnsiTheme="majorEastAsia" w:cs="Google Sans"/>
          <w:color w:val="444746"/>
          <w:sz w:val="24"/>
          <w:szCs w:val="24"/>
          <w:vertAlign w:val="superscript"/>
        </w:rPr>
        <w:t>3</w:t>
      </w:r>
      <w:r w:rsidRPr="004D1966">
        <w:rPr>
          <w:rFonts w:asciiTheme="majorEastAsia" w:eastAsiaTheme="majorEastAsia" w:hAnsiTheme="majorEastAsia" w:cs="Google Sans"/>
          <w:color w:val="1F1F1F"/>
        </w:rPr>
        <w:t xml:space="preserve"> 단일 환자 기록 시스템이 구축되면 환자는 NHS App을 통해 자신의 건강 데이터에 대한 실질적인 통제권을 갖게 되며, 의료진은 흩어져 있던 과거 병력, 검사 결과, 웨어러블 데이터 등을 한눈에 파악하여 더 빠르고 안전한 임상적 결정을 내릴 수 있다.</w:t>
      </w:r>
      <w:r w:rsidRPr="004D1966">
        <w:rPr>
          <w:rFonts w:asciiTheme="majorEastAsia" w:eastAsiaTheme="majorEastAsia" w:hAnsiTheme="majorEastAsia" w:cs="Google Sans"/>
          <w:color w:val="444746"/>
          <w:sz w:val="24"/>
          <w:szCs w:val="24"/>
          <w:vertAlign w:val="superscript"/>
        </w:rPr>
        <w:t>17</w:t>
      </w:r>
      <w:r w:rsidRPr="004D1966">
        <w:rPr>
          <w:rFonts w:asciiTheme="majorEastAsia" w:eastAsiaTheme="majorEastAsia" w:hAnsiTheme="majorEastAsia" w:cs="Google Sans"/>
          <w:color w:val="1F1F1F"/>
        </w:rPr>
        <w:t xml:space="preserve"> 정부는 NHS App을 단순한 예약 도구가 아닌 환자의 건강 역량을 강화하고 진료 계획을 주도하는 세계 최고 수준의 개인화된 권한 부여(Empowerment) 플랫폼으로 탈바꿈시킬 계획이다.</w:t>
      </w:r>
      <w:r w:rsidRPr="004D1966">
        <w:rPr>
          <w:rFonts w:asciiTheme="majorEastAsia" w:eastAsiaTheme="majorEastAsia" w:hAnsiTheme="majorEastAsia" w:cs="Google Sans"/>
          <w:color w:val="444746"/>
          <w:sz w:val="24"/>
          <w:szCs w:val="24"/>
          <w:vertAlign w:val="superscript"/>
        </w:rPr>
        <w:t>3</w:t>
      </w:r>
    </w:p>
    <w:p w14:paraId="10D5A561" w14:textId="77777777" w:rsidR="009B5916" w:rsidRPr="004D1966" w:rsidRDefault="00000000">
      <w:pPr>
        <w:pStyle w:val="3"/>
        <w:spacing w:before="0" w:after="12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3.2. 전환 2: 질병 치료에서 선제적 예방으로 (Sickness to Prevention)</w:t>
      </w:r>
    </w:p>
    <w:p w14:paraId="6F363EB8"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color w:val="444746"/>
          <w:sz w:val="24"/>
          <w:szCs w:val="24"/>
          <w:vertAlign w:val="superscript"/>
        </w:rPr>
      </w:pPr>
      <w:r w:rsidRPr="004D1966">
        <w:rPr>
          <w:rFonts w:asciiTheme="majorEastAsia" w:eastAsiaTheme="majorEastAsia" w:hAnsiTheme="majorEastAsia" w:cs="Google Sans"/>
          <w:color w:val="1F1F1F"/>
        </w:rPr>
        <w:t>두 번째 전환은 발병 후 병원을 찾아오는 환자를 진단하고 치료하는 수동적 모델(Diagnose and treat)에서, 질병의 징후를 사전에 읽어내고 개입하는 선제적 예방 모델(Predict and prevent)로의 이행이다.</w:t>
      </w:r>
      <w:r w:rsidRPr="004D1966">
        <w:rPr>
          <w:rFonts w:asciiTheme="majorEastAsia" w:eastAsiaTheme="majorEastAsia" w:hAnsiTheme="majorEastAsia" w:cs="Google Sans"/>
          <w:color w:val="444746"/>
          <w:sz w:val="24"/>
          <w:szCs w:val="24"/>
          <w:vertAlign w:val="superscript"/>
        </w:rPr>
        <w:t>1</w:t>
      </w:r>
      <w:r w:rsidRPr="004D1966">
        <w:rPr>
          <w:rFonts w:asciiTheme="majorEastAsia" w:eastAsiaTheme="majorEastAsia" w:hAnsiTheme="majorEastAsia" w:cs="Google Sans"/>
          <w:color w:val="1F1F1F"/>
        </w:rPr>
        <w:t xml:space="preserve"> 이를 위해 대규모의 국가적 예방 이니셔티브가 가동된다. 여기에는 2009년 이후 출생자에게 평생 담배 판매를 금지하는 세계 최초의 흡연 세대 종식 법안(Tobacco and Vapes Bill), 아동을 대상으로 한 정크푸드 및 고카페인 에너지 음료 광고 금지, 식품 업계의 의무적 건강 판매 보고제 도입 등 강력한 공중 보건 규제가 포함되어 있다.</w:t>
      </w:r>
      <w:r w:rsidRPr="004D1966">
        <w:rPr>
          <w:rFonts w:asciiTheme="majorEastAsia" w:eastAsiaTheme="majorEastAsia" w:hAnsiTheme="majorEastAsia" w:cs="Google Sans"/>
          <w:color w:val="444746"/>
          <w:sz w:val="24"/>
          <w:szCs w:val="24"/>
          <w:vertAlign w:val="superscript"/>
        </w:rPr>
        <w:t>17</w:t>
      </w:r>
    </w:p>
    <w:p w14:paraId="0F1119CC"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color w:val="444746"/>
          <w:sz w:val="24"/>
          <w:szCs w:val="24"/>
          <w:vertAlign w:val="superscript"/>
        </w:rPr>
      </w:pPr>
      <w:r w:rsidRPr="004D1966">
        <w:rPr>
          <w:rFonts w:asciiTheme="majorEastAsia" w:eastAsiaTheme="majorEastAsia" w:hAnsiTheme="majorEastAsia" w:cs="Google Sans"/>
          <w:color w:val="1F1F1F"/>
        </w:rPr>
        <w:t>특히 노동 인구의 비활동성 위기에 직접적으로 대응하기 위해 정부는 통합치료위원회(ICBs)와 협력하여 '보건 및 성장 액셀러레이터(Health and Growth Accelerators)'라는 혁신적인 모델을 도입했다.</w:t>
      </w:r>
      <w:r w:rsidRPr="004D1966">
        <w:rPr>
          <w:rFonts w:asciiTheme="majorEastAsia" w:eastAsiaTheme="majorEastAsia" w:hAnsiTheme="majorEastAsia" w:cs="Google Sans"/>
          <w:color w:val="444746"/>
          <w:sz w:val="24"/>
          <w:szCs w:val="24"/>
          <w:vertAlign w:val="superscript"/>
        </w:rPr>
        <w:t>17</w:t>
      </w:r>
      <w:r w:rsidRPr="004D1966">
        <w:rPr>
          <w:rFonts w:asciiTheme="majorEastAsia" w:eastAsiaTheme="majorEastAsia" w:hAnsiTheme="majorEastAsia" w:cs="Google Sans"/>
          <w:color w:val="1F1F1F"/>
        </w:rPr>
        <w:t xml:space="preserve"> 2,500만 파운드의 예산이 투입된 이 파일럿 프로그램은 경제활동 비활동성 비율이 높은 잉글랜드 북부 지역을 중심으로, 환자가 직장을 잃기 전에 선제적으로 개입하는 것을 목표로 한다.</w:t>
      </w:r>
      <w:r w:rsidRPr="004D1966">
        <w:rPr>
          <w:rFonts w:asciiTheme="majorEastAsia" w:eastAsiaTheme="majorEastAsia" w:hAnsiTheme="majorEastAsia" w:cs="Google Sans"/>
          <w:color w:val="444746"/>
          <w:sz w:val="24"/>
          <w:szCs w:val="24"/>
          <w:vertAlign w:val="superscript"/>
        </w:rPr>
        <w:t>19</w:t>
      </w:r>
      <w:r w:rsidRPr="004D1966">
        <w:rPr>
          <w:rFonts w:asciiTheme="majorEastAsia" w:eastAsiaTheme="majorEastAsia" w:hAnsiTheme="majorEastAsia" w:cs="Google Sans"/>
          <w:color w:val="1F1F1F"/>
        </w:rPr>
        <w:t xml:space="preserve"> 과거 NHS가 환자의 육체적 질병만 치료하고 일터로의 복귀는 방관했다면, 이 프로그램은 근골격계 질환, 대사 증후군, 정신 질환 등을 앓고 있는 근로자가 실업의 나락으로 떨어지지 않도록 NHS가 직접 고용 유지에 대한 책임을 진다.</w:t>
      </w:r>
      <w:r w:rsidRPr="004D1966">
        <w:rPr>
          <w:rFonts w:asciiTheme="majorEastAsia" w:eastAsiaTheme="majorEastAsia" w:hAnsiTheme="majorEastAsia" w:cs="Google Sans"/>
          <w:color w:val="444746"/>
          <w:sz w:val="24"/>
          <w:szCs w:val="24"/>
          <w:vertAlign w:val="superscript"/>
        </w:rPr>
        <w:t>19</w:t>
      </w:r>
      <w:r w:rsidRPr="004D1966">
        <w:rPr>
          <w:rFonts w:asciiTheme="majorEastAsia" w:eastAsiaTheme="majorEastAsia" w:hAnsiTheme="majorEastAsia" w:cs="Google Sans"/>
          <w:color w:val="1F1F1F"/>
        </w:rPr>
        <w:t xml:space="preserve"> 의사에게 집중된 부담을 덜기 위해 작업 치료사(Occupational therapists), 고용 전문가, 물리치료사 등 다학제적 팀이 투입되며, 이들은 환자의 상태에 따라 NHS 자금으로 고용 코칭, 피트니스 센터 멤버십, 심리 상담 등을 맞춤형으로 제공하여 '건강 문제가 고용 문제로 비화(Health problems becoming work problems)'되는 것을 원천 차단한다.</w:t>
      </w:r>
      <w:r w:rsidRPr="004D1966">
        <w:rPr>
          <w:rFonts w:asciiTheme="majorEastAsia" w:eastAsiaTheme="majorEastAsia" w:hAnsiTheme="majorEastAsia" w:cs="Google Sans"/>
          <w:color w:val="444746"/>
          <w:sz w:val="24"/>
          <w:szCs w:val="24"/>
          <w:vertAlign w:val="superscript"/>
        </w:rPr>
        <w:t>19</w:t>
      </w:r>
    </w:p>
    <w:p w14:paraId="1E1771D1" w14:textId="77777777" w:rsidR="009B5916" w:rsidRPr="004D1966" w:rsidRDefault="00000000">
      <w:pPr>
        <w:pStyle w:val="3"/>
        <w:spacing w:before="0" w:after="12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3.3. 전환 3: 병원에서 지역사회로 (Hospital to Community)</w:t>
      </w:r>
    </w:p>
    <w:p w14:paraId="04761614"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세 번째이자 공간적으로 가장 파괴적인 혁신은 치료의 중심축을 거대하고 값비싼 대형 병원에서 환자가 생활하는 집과 지역사회로 이동시키는 것이다.</w:t>
      </w:r>
      <w:r w:rsidRPr="004D1966">
        <w:rPr>
          <w:rFonts w:asciiTheme="majorEastAsia" w:eastAsiaTheme="majorEastAsia" w:hAnsiTheme="majorEastAsia" w:cs="Google Sans"/>
          <w:color w:val="444746"/>
          <w:sz w:val="24"/>
          <w:szCs w:val="24"/>
          <w:vertAlign w:val="superscript"/>
        </w:rPr>
        <w:t>1</w:t>
      </w:r>
      <w:r w:rsidRPr="004D1966">
        <w:rPr>
          <w:rFonts w:asciiTheme="majorEastAsia" w:eastAsiaTheme="majorEastAsia" w:hAnsiTheme="majorEastAsia" w:cs="Google Sans"/>
          <w:color w:val="1F1F1F"/>
        </w:rPr>
        <w:t xml:space="preserve"> 대형 병원 중심의 현재 시스템은 접근성이 떨어지고 환자의 일상을 단절시킨다. 이를 극복하기 위해 제안된 '이웃 보건 서비스(Neighbourhood Health Service)'는 환자의 문 앞과 자택의 안락함 속에서 연속적이고 통합적인 돌봄을 제공하는 대안적 모델이다.</w:t>
      </w:r>
      <w:r w:rsidRPr="004D1966">
        <w:rPr>
          <w:rFonts w:asciiTheme="majorEastAsia" w:eastAsiaTheme="majorEastAsia" w:hAnsiTheme="majorEastAsia" w:cs="Google Sans"/>
          <w:color w:val="444746"/>
          <w:sz w:val="24"/>
          <w:szCs w:val="24"/>
          <w:vertAlign w:val="superscript"/>
        </w:rPr>
        <w:t>3</w:t>
      </w:r>
      <w:r w:rsidRPr="004D1966">
        <w:rPr>
          <w:rFonts w:asciiTheme="majorEastAsia" w:eastAsiaTheme="majorEastAsia" w:hAnsiTheme="majorEastAsia" w:cs="Google Sans"/>
          <w:color w:val="1F1F1F"/>
        </w:rPr>
        <w:t xml:space="preserve"> 이 전환이 성공하기 위해서는 만성 질환자와 고령자가 병원에 가지 않고도 급성기 병상 수준의 집중적인 모니터링과 치료를 받을 수 있어야 하며, 이를 가능하게 하는 핵심 인프라가 바로 '가상 병동(Virtual Wards)'과 '웨어러블 기술(Wearable Technology)'이다.</w:t>
      </w:r>
    </w:p>
    <w:p w14:paraId="4139A4C1" w14:textId="77777777" w:rsidR="009B5916" w:rsidRPr="004D1966" w:rsidRDefault="009B5916">
      <w:pPr>
        <w:pBdr>
          <w:top w:val="nil"/>
          <w:left w:val="nil"/>
          <w:bottom w:val="nil"/>
          <w:right w:val="nil"/>
          <w:between w:val="nil"/>
        </w:pBdr>
        <w:spacing w:line="275" w:lineRule="auto"/>
        <w:rPr>
          <w:rFonts w:asciiTheme="majorEastAsia" w:eastAsiaTheme="majorEastAsia" w:hAnsiTheme="majorEastAsia" w:cs="Google Sans"/>
          <w:color w:val="1F1F1F"/>
        </w:rPr>
      </w:pPr>
    </w:p>
    <w:tbl>
      <w:tblPr>
        <w:tblStyle w:val="a6"/>
        <w:tblW w:w="9360" w:type="dxa"/>
        <w:tblInd w:w="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340"/>
        <w:gridCol w:w="2340"/>
        <w:gridCol w:w="2340"/>
        <w:gridCol w:w="2340"/>
      </w:tblGrid>
      <w:tr w:rsidR="009B5916" w:rsidRPr="004D1966" w14:paraId="3CCA4BE0" w14:textId="77777777">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5B724F63" w14:textId="77777777" w:rsidR="009B5916" w:rsidRPr="004D1966" w:rsidRDefault="00000000">
            <w:pPr>
              <w:pBdr>
                <w:top w:val="nil"/>
                <w:left w:val="nil"/>
                <w:bottom w:val="nil"/>
                <w:right w:val="nil"/>
                <w:between w:val="nil"/>
              </w:pBdr>
              <w:spacing w:before="120" w:after="120" w:line="275" w:lineRule="auto"/>
              <w:rPr>
                <w:rFonts w:asciiTheme="majorEastAsia" w:eastAsiaTheme="majorEastAsia" w:hAnsiTheme="majorEastAsia" w:cs="Google Sans"/>
                <w:b/>
                <w:bCs/>
                <w:color w:val="1F1F1F"/>
              </w:rPr>
            </w:pPr>
            <w:r w:rsidRPr="004D1966">
              <w:rPr>
                <w:rFonts w:asciiTheme="majorEastAsia" w:eastAsiaTheme="majorEastAsia" w:hAnsiTheme="majorEastAsia" w:cs="Google Sans"/>
                <w:b/>
                <w:bCs/>
                <w:color w:val="1F1F1F"/>
              </w:rPr>
              <w:t>패러다임 전환</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4B5C698C" w14:textId="77777777" w:rsidR="009B5916" w:rsidRPr="004D1966" w:rsidRDefault="00000000">
            <w:pPr>
              <w:pBdr>
                <w:top w:val="nil"/>
                <w:left w:val="nil"/>
                <w:bottom w:val="nil"/>
                <w:right w:val="nil"/>
                <w:between w:val="nil"/>
              </w:pBdr>
              <w:spacing w:before="120" w:after="120" w:line="275" w:lineRule="auto"/>
              <w:rPr>
                <w:rFonts w:asciiTheme="majorEastAsia" w:eastAsiaTheme="majorEastAsia" w:hAnsiTheme="majorEastAsia" w:cs="Google Sans"/>
                <w:b/>
                <w:bCs/>
                <w:color w:val="1F1F1F"/>
              </w:rPr>
            </w:pPr>
            <w:r w:rsidRPr="004D1966">
              <w:rPr>
                <w:rFonts w:asciiTheme="majorEastAsia" w:eastAsiaTheme="majorEastAsia" w:hAnsiTheme="majorEastAsia" w:cs="Google Sans"/>
                <w:b/>
                <w:bCs/>
                <w:color w:val="1F1F1F"/>
              </w:rPr>
              <w:t>기존 보건의료 시스템 (As-Is)</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3349FEDF" w14:textId="77777777" w:rsidR="009B5916" w:rsidRPr="004D1966" w:rsidRDefault="00000000">
            <w:pPr>
              <w:pBdr>
                <w:top w:val="nil"/>
                <w:left w:val="nil"/>
                <w:bottom w:val="nil"/>
                <w:right w:val="nil"/>
                <w:between w:val="nil"/>
              </w:pBdr>
              <w:spacing w:before="120" w:after="120" w:line="275" w:lineRule="auto"/>
              <w:rPr>
                <w:rFonts w:asciiTheme="majorEastAsia" w:eastAsiaTheme="majorEastAsia" w:hAnsiTheme="majorEastAsia" w:cs="Google Sans"/>
                <w:b/>
                <w:bCs/>
                <w:color w:val="1F1F1F"/>
              </w:rPr>
            </w:pPr>
            <w:r w:rsidRPr="004D1966">
              <w:rPr>
                <w:rFonts w:asciiTheme="majorEastAsia" w:eastAsiaTheme="majorEastAsia" w:hAnsiTheme="majorEastAsia" w:cs="Google Sans"/>
                <w:b/>
                <w:bCs/>
                <w:color w:val="1F1F1F"/>
              </w:rPr>
              <w:t>NHS 10개년 계획의 목표 (To-Be)</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38C370C7" w14:textId="77777777" w:rsidR="009B5916" w:rsidRPr="004D1966" w:rsidRDefault="00000000">
            <w:pPr>
              <w:pBdr>
                <w:top w:val="nil"/>
                <w:left w:val="nil"/>
                <w:bottom w:val="nil"/>
                <w:right w:val="nil"/>
                <w:between w:val="nil"/>
              </w:pBdr>
              <w:spacing w:before="120" w:after="120" w:line="275" w:lineRule="auto"/>
              <w:rPr>
                <w:rFonts w:asciiTheme="majorEastAsia" w:eastAsiaTheme="majorEastAsia" w:hAnsiTheme="majorEastAsia" w:cs="Google Sans"/>
                <w:b/>
                <w:bCs/>
                <w:color w:val="1F1F1F"/>
              </w:rPr>
            </w:pPr>
            <w:r w:rsidRPr="004D1966">
              <w:rPr>
                <w:rFonts w:asciiTheme="majorEastAsia" w:eastAsiaTheme="majorEastAsia" w:hAnsiTheme="majorEastAsia" w:cs="Google Sans"/>
                <w:b/>
                <w:bCs/>
                <w:color w:val="1F1F1F"/>
              </w:rPr>
              <w:t>주요 기술 및 제도적 장치</w:t>
            </w:r>
          </w:p>
        </w:tc>
      </w:tr>
      <w:tr w:rsidR="009B5916" w:rsidRPr="004D1966" w14:paraId="22C981C9" w14:textId="77777777">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37CD9217" w14:textId="77777777" w:rsidR="009B5916" w:rsidRPr="004D1966" w:rsidRDefault="00000000">
            <w:pPr>
              <w:pBdr>
                <w:top w:val="nil"/>
                <w:left w:val="nil"/>
                <w:bottom w:val="nil"/>
                <w:right w:val="nil"/>
                <w:between w:val="nil"/>
              </w:pBdr>
              <w:spacing w:before="120" w:after="120" w:line="275" w:lineRule="auto"/>
              <w:rPr>
                <w:rFonts w:asciiTheme="majorEastAsia" w:eastAsiaTheme="majorEastAsia" w:hAnsiTheme="majorEastAsia" w:cs="Google Sans"/>
                <w:b/>
                <w:bCs/>
                <w:color w:val="1F1F1F"/>
              </w:rPr>
            </w:pPr>
            <w:r w:rsidRPr="004D1966">
              <w:rPr>
                <w:rFonts w:asciiTheme="majorEastAsia" w:eastAsiaTheme="majorEastAsia" w:hAnsiTheme="majorEastAsia" w:cs="Google Sans"/>
                <w:b/>
                <w:bCs/>
                <w:color w:val="1F1F1F"/>
              </w:rPr>
              <w:t xml:space="preserve">물리 </w:t>
            </w:r>
            <w:r w:rsidRPr="004D1966">
              <w:rPr>
                <w:rFonts w:ascii="Segoe UI Symbol" w:eastAsiaTheme="majorEastAsia" w:hAnsi="Segoe UI Symbol" w:cs="Segoe UI Symbol"/>
                <w:b/>
                <w:bCs/>
                <w:color w:val="1F1F1F"/>
              </w:rPr>
              <w:t>➔</w:t>
            </w:r>
            <w:r w:rsidRPr="004D1966">
              <w:rPr>
                <w:rFonts w:asciiTheme="majorEastAsia" w:eastAsiaTheme="majorEastAsia" w:hAnsiTheme="majorEastAsia" w:cs="Google Sans"/>
                <w:b/>
                <w:bCs/>
                <w:color w:val="1F1F1F"/>
              </w:rPr>
              <w:t xml:space="preserve"> 디지털</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646A3B4B" w14:textId="77777777" w:rsidR="009B5916" w:rsidRPr="004D1966" w:rsidRDefault="00000000">
            <w:pPr>
              <w:pBdr>
                <w:top w:val="nil"/>
                <w:left w:val="nil"/>
                <w:bottom w:val="nil"/>
                <w:right w:val="nil"/>
                <w:between w:val="nil"/>
              </w:pBdr>
              <w:spacing w:before="120" w:after="12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사일로화된 서면 기록, 파편화된 진료</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5A719C43" w14:textId="77777777" w:rsidR="009B5916" w:rsidRPr="004D1966" w:rsidRDefault="00000000">
            <w:pPr>
              <w:pBdr>
                <w:top w:val="nil"/>
                <w:left w:val="nil"/>
                <w:bottom w:val="nil"/>
                <w:right w:val="nil"/>
                <w:between w:val="nil"/>
              </w:pBdr>
              <w:spacing w:before="120" w:after="12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통합된 데이터 중심, 환자 통제권 강화</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5384A562" w14:textId="77777777" w:rsidR="009B5916" w:rsidRPr="004D1966" w:rsidRDefault="00000000">
            <w:pPr>
              <w:pBdr>
                <w:top w:val="nil"/>
                <w:left w:val="nil"/>
                <w:bottom w:val="nil"/>
                <w:right w:val="nil"/>
                <w:between w:val="nil"/>
              </w:pBdr>
              <w:spacing w:line="275" w:lineRule="auto"/>
              <w:rPr>
                <w:rFonts w:asciiTheme="majorEastAsia" w:eastAsiaTheme="majorEastAsia" w:hAnsiTheme="majorEastAsia" w:cs="Google Sans"/>
                <w:color w:val="444746"/>
                <w:sz w:val="24"/>
                <w:szCs w:val="24"/>
                <w:vertAlign w:val="superscript"/>
              </w:rPr>
            </w:pPr>
            <w:r w:rsidRPr="004D1966">
              <w:rPr>
                <w:rFonts w:asciiTheme="majorEastAsia" w:eastAsiaTheme="majorEastAsia" w:hAnsiTheme="majorEastAsia" w:cs="Google Sans"/>
                <w:color w:val="1F1F1F"/>
              </w:rPr>
              <w:t xml:space="preserve">단일 환자 기록(Single Patient Record), NHS App 고도화 </w:t>
            </w:r>
            <w:r w:rsidRPr="004D1966">
              <w:rPr>
                <w:rFonts w:asciiTheme="majorEastAsia" w:eastAsiaTheme="majorEastAsia" w:hAnsiTheme="majorEastAsia" w:cs="Google Sans"/>
                <w:color w:val="444746"/>
                <w:sz w:val="24"/>
                <w:szCs w:val="24"/>
                <w:vertAlign w:val="superscript"/>
              </w:rPr>
              <w:t>17</w:t>
            </w:r>
          </w:p>
        </w:tc>
      </w:tr>
      <w:tr w:rsidR="009B5916" w:rsidRPr="004D1966" w14:paraId="28C0E873" w14:textId="77777777">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2784C60D" w14:textId="77777777" w:rsidR="009B5916" w:rsidRPr="004D1966" w:rsidRDefault="00000000">
            <w:pPr>
              <w:pBdr>
                <w:top w:val="nil"/>
                <w:left w:val="nil"/>
                <w:bottom w:val="nil"/>
                <w:right w:val="nil"/>
                <w:between w:val="nil"/>
              </w:pBdr>
              <w:spacing w:before="120" w:after="120" w:line="275" w:lineRule="auto"/>
              <w:rPr>
                <w:rFonts w:asciiTheme="majorEastAsia" w:eastAsiaTheme="majorEastAsia" w:hAnsiTheme="majorEastAsia" w:cs="Google Sans"/>
                <w:b/>
                <w:bCs/>
                <w:color w:val="1F1F1F"/>
              </w:rPr>
            </w:pPr>
            <w:r w:rsidRPr="004D1966">
              <w:rPr>
                <w:rFonts w:asciiTheme="majorEastAsia" w:eastAsiaTheme="majorEastAsia" w:hAnsiTheme="majorEastAsia" w:cs="Google Sans"/>
                <w:b/>
                <w:bCs/>
                <w:color w:val="1F1F1F"/>
              </w:rPr>
              <w:t xml:space="preserve">치료 </w:t>
            </w:r>
            <w:r w:rsidRPr="004D1966">
              <w:rPr>
                <w:rFonts w:ascii="Segoe UI Symbol" w:eastAsiaTheme="majorEastAsia" w:hAnsi="Segoe UI Symbol" w:cs="Segoe UI Symbol"/>
                <w:b/>
                <w:bCs/>
                <w:color w:val="1F1F1F"/>
              </w:rPr>
              <w:t>➔</w:t>
            </w:r>
            <w:r w:rsidRPr="004D1966">
              <w:rPr>
                <w:rFonts w:asciiTheme="majorEastAsia" w:eastAsiaTheme="majorEastAsia" w:hAnsiTheme="majorEastAsia" w:cs="Google Sans"/>
                <w:b/>
                <w:bCs/>
                <w:color w:val="1F1F1F"/>
              </w:rPr>
              <w:t xml:space="preserve"> 예방</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2BAEA5E2" w14:textId="77777777" w:rsidR="009B5916" w:rsidRPr="004D1966" w:rsidRDefault="00000000">
            <w:pPr>
              <w:pBdr>
                <w:top w:val="nil"/>
                <w:left w:val="nil"/>
                <w:bottom w:val="nil"/>
                <w:right w:val="nil"/>
                <w:between w:val="nil"/>
              </w:pBdr>
              <w:spacing w:before="120" w:after="12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사후적 진단 및 치료(Diagnose and Treat)</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661E9BAD" w14:textId="77777777" w:rsidR="009B5916" w:rsidRPr="004D1966" w:rsidRDefault="00000000">
            <w:pPr>
              <w:pBdr>
                <w:top w:val="nil"/>
                <w:left w:val="nil"/>
                <w:bottom w:val="nil"/>
                <w:right w:val="nil"/>
                <w:between w:val="nil"/>
              </w:pBdr>
              <w:spacing w:before="120" w:after="12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선제적 질환 예측 및 예방(Predict and Prevent)</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3F472E1D" w14:textId="77777777" w:rsidR="009B5916" w:rsidRPr="004D1966" w:rsidRDefault="00000000">
            <w:pPr>
              <w:pBdr>
                <w:top w:val="nil"/>
                <w:left w:val="nil"/>
                <w:bottom w:val="nil"/>
                <w:right w:val="nil"/>
                <w:between w:val="nil"/>
              </w:pBdr>
              <w:spacing w:line="275" w:lineRule="auto"/>
              <w:rPr>
                <w:rFonts w:asciiTheme="majorEastAsia" w:eastAsiaTheme="majorEastAsia" w:hAnsiTheme="majorEastAsia" w:cs="Google Sans"/>
                <w:color w:val="444746"/>
                <w:sz w:val="24"/>
                <w:szCs w:val="24"/>
                <w:vertAlign w:val="superscript"/>
              </w:rPr>
            </w:pPr>
            <w:r w:rsidRPr="004D1966">
              <w:rPr>
                <w:rFonts w:asciiTheme="majorEastAsia" w:eastAsiaTheme="majorEastAsia" w:hAnsiTheme="majorEastAsia" w:cs="Google Sans"/>
                <w:color w:val="1F1F1F"/>
              </w:rPr>
              <w:t xml:space="preserve">보건 및 성장 액셀러레이터, 공중 보건 규제 강화 </w:t>
            </w:r>
            <w:r w:rsidRPr="004D1966">
              <w:rPr>
                <w:rFonts w:asciiTheme="majorEastAsia" w:eastAsiaTheme="majorEastAsia" w:hAnsiTheme="majorEastAsia" w:cs="Google Sans"/>
                <w:color w:val="444746"/>
                <w:sz w:val="24"/>
                <w:szCs w:val="24"/>
                <w:vertAlign w:val="superscript"/>
              </w:rPr>
              <w:t>2</w:t>
            </w:r>
          </w:p>
        </w:tc>
      </w:tr>
      <w:tr w:rsidR="009B5916" w:rsidRPr="004D1966" w14:paraId="5C42B8A8" w14:textId="77777777">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0BA25C6C" w14:textId="77777777" w:rsidR="009B5916" w:rsidRPr="004D1966" w:rsidRDefault="00000000">
            <w:pPr>
              <w:pBdr>
                <w:top w:val="nil"/>
                <w:left w:val="nil"/>
                <w:bottom w:val="nil"/>
                <w:right w:val="nil"/>
                <w:between w:val="nil"/>
              </w:pBdr>
              <w:spacing w:before="120" w:after="120" w:line="275" w:lineRule="auto"/>
              <w:rPr>
                <w:rFonts w:asciiTheme="majorEastAsia" w:eastAsiaTheme="majorEastAsia" w:hAnsiTheme="majorEastAsia" w:cs="Google Sans"/>
                <w:b/>
                <w:bCs/>
                <w:color w:val="1F1F1F"/>
              </w:rPr>
            </w:pPr>
            <w:r w:rsidRPr="004D1966">
              <w:rPr>
                <w:rFonts w:asciiTheme="majorEastAsia" w:eastAsiaTheme="majorEastAsia" w:hAnsiTheme="majorEastAsia" w:cs="Google Sans"/>
                <w:b/>
                <w:bCs/>
                <w:color w:val="1F1F1F"/>
              </w:rPr>
              <w:t xml:space="preserve">병원 </w:t>
            </w:r>
            <w:r w:rsidRPr="004D1966">
              <w:rPr>
                <w:rFonts w:ascii="Segoe UI Symbol" w:eastAsiaTheme="majorEastAsia" w:hAnsi="Segoe UI Symbol" w:cs="Segoe UI Symbol"/>
                <w:b/>
                <w:bCs/>
                <w:color w:val="1F1F1F"/>
              </w:rPr>
              <w:t>➔</w:t>
            </w:r>
            <w:r w:rsidRPr="004D1966">
              <w:rPr>
                <w:rFonts w:asciiTheme="majorEastAsia" w:eastAsiaTheme="majorEastAsia" w:hAnsiTheme="majorEastAsia" w:cs="Google Sans"/>
                <w:b/>
                <w:bCs/>
                <w:color w:val="1F1F1F"/>
              </w:rPr>
              <w:t xml:space="preserve"> 지역사회</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6EC04A23" w14:textId="77777777" w:rsidR="009B5916" w:rsidRPr="004D1966" w:rsidRDefault="00000000">
            <w:pPr>
              <w:pBdr>
                <w:top w:val="nil"/>
                <w:left w:val="nil"/>
                <w:bottom w:val="nil"/>
                <w:right w:val="nil"/>
                <w:between w:val="nil"/>
              </w:pBdr>
              <w:spacing w:before="120" w:after="12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대형 병원 중심, 단절된 의료 서비스</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61E915AD" w14:textId="77777777" w:rsidR="009B5916" w:rsidRPr="004D1966" w:rsidRDefault="00000000">
            <w:pPr>
              <w:pBdr>
                <w:top w:val="nil"/>
                <w:left w:val="nil"/>
                <w:bottom w:val="nil"/>
                <w:right w:val="nil"/>
                <w:between w:val="nil"/>
              </w:pBdr>
              <w:spacing w:before="120" w:after="12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환자 자택 및 직장 중심, 연속적인 돌봄</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45F17C84" w14:textId="77777777" w:rsidR="009B5916" w:rsidRPr="004D1966" w:rsidRDefault="00000000">
            <w:pPr>
              <w:pBdr>
                <w:top w:val="nil"/>
                <w:left w:val="nil"/>
                <w:bottom w:val="nil"/>
                <w:right w:val="nil"/>
                <w:between w:val="nil"/>
              </w:pBdr>
              <w:spacing w:line="275" w:lineRule="auto"/>
              <w:rPr>
                <w:rFonts w:asciiTheme="majorEastAsia" w:eastAsiaTheme="majorEastAsia" w:hAnsiTheme="majorEastAsia" w:cs="Google Sans"/>
                <w:color w:val="444746"/>
                <w:sz w:val="24"/>
                <w:szCs w:val="24"/>
                <w:vertAlign w:val="superscript"/>
              </w:rPr>
            </w:pPr>
            <w:r w:rsidRPr="004D1966">
              <w:rPr>
                <w:rFonts w:asciiTheme="majorEastAsia" w:eastAsiaTheme="majorEastAsia" w:hAnsiTheme="majorEastAsia" w:cs="Google Sans"/>
                <w:color w:val="1F1F1F"/>
              </w:rPr>
              <w:t xml:space="preserve">이웃 보건 서비스, 가상 병동(Virtual Wards), 웨어러블 </w:t>
            </w:r>
            <w:r w:rsidRPr="004D1966">
              <w:rPr>
                <w:rFonts w:asciiTheme="majorEastAsia" w:eastAsiaTheme="majorEastAsia" w:hAnsiTheme="majorEastAsia" w:cs="Google Sans"/>
                <w:color w:val="444746"/>
                <w:sz w:val="24"/>
                <w:szCs w:val="24"/>
                <w:vertAlign w:val="superscript"/>
              </w:rPr>
              <w:t>3</w:t>
            </w:r>
          </w:p>
        </w:tc>
      </w:tr>
    </w:tbl>
    <w:p w14:paraId="06B2E3AB" w14:textId="77777777" w:rsidR="009B5916" w:rsidRPr="004D1966" w:rsidRDefault="00000000">
      <w:pPr>
        <w:pStyle w:val="2"/>
        <w:spacing w:before="0" w:after="12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4. 가상 병동(Virtual Wards)과 임상 치료의 공간적 해방</w:t>
      </w:r>
    </w:p>
    <w:p w14:paraId="17D4DA69"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color w:val="444746"/>
          <w:sz w:val="24"/>
          <w:szCs w:val="24"/>
          <w:vertAlign w:val="superscript"/>
        </w:rPr>
      </w:pPr>
      <w:r w:rsidRPr="004D1966">
        <w:rPr>
          <w:rFonts w:asciiTheme="majorEastAsia" w:eastAsiaTheme="majorEastAsia" w:hAnsiTheme="majorEastAsia" w:cs="Google Sans"/>
          <w:color w:val="1F1F1F"/>
        </w:rPr>
        <w:t>'병원에서 지역사회로'의 이행을 완수하기 위한 최전선에는 가상 병동(Virtual Wards, 또는 Hospital at Home)이 존재한다. 가상 병동은 환자가 병원 침대가 아닌 자신의 집이나 요양 시설, 심지어 안정이 확보된 일터에 머물면서도, 병원 내 급성기 임상 서비스(Acute clinical service)와 동일한 수준의 인력, 기술, 장비, 투약 관리를 제공받을 수 있도록 설계된 혁신적 진료 체계이다.</w:t>
      </w:r>
      <w:r w:rsidRPr="004D1966">
        <w:rPr>
          <w:rFonts w:asciiTheme="majorEastAsia" w:eastAsiaTheme="majorEastAsia" w:hAnsiTheme="majorEastAsia" w:cs="Google Sans"/>
          <w:color w:val="444746"/>
          <w:sz w:val="24"/>
          <w:szCs w:val="24"/>
          <w:vertAlign w:val="superscript"/>
        </w:rPr>
        <w:t>21</w:t>
      </w:r>
    </w:p>
    <w:p w14:paraId="5BCBA5F7" w14:textId="77777777" w:rsidR="009B5916" w:rsidRPr="004D1966" w:rsidRDefault="00000000">
      <w:pPr>
        <w:pStyle w:val="3"/>
        <w:spacing w:before="0" w:after="12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4.1. 가상 병동의 작동 메커니즘과 핵심 기술</w:t>
      </w:r>
    </w:p>
    <w:p w14:paraId="2EAADAEF"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color w:val="444746"/>
          <w:sz w:val="24"/>
          <w:szCs w:val="24"/>
          <w:vertAlign w:val="superscript"/>
        </w:rPr>
      </w:pPr>
      <w:r w:rsidRPr="004D1966">
        <w:rPr>
          <w:rFonts w:asciiTheme="majorEastAsia" w:eastAsiaTheme="majorEastAsia" w:hAnsiTheme="majorEastAsia" w:cs="Google Sans"/>
          <w:color w:val="1F1F1F"/>
        </w:rPr>
        <w:t>가상 병동이 환자의 안전을 담보하며 병상을 대체할 수 있는 이유는 기술 기반의 실시간 원격 모니터링 시스템 덕분이다. 가상 병동의 최소 요건은 환자가 애플리케이션이나 웹사이트를 통해 혈압, 산소 포화도 등 합의된 건강 데이터를 입력하거나, 블루투스가 연동된 웨어러블 기기를 통해 생체 신호가 임상 팀의 디지털 대시보드로 자동 전송되는 것이다.</w:t>
      </w:r>
      <w:r w:rsidRPr="004D1966">
        <w:rPr>
          <w:rFonts w:asciiTheme="majorEastAsia" w:eastAsiaTheme="majorEastAsia" w:hAnsiTheme="majorEastAsia" w:cs="Google Sans"/>
          <w:color w:val="444746"/>
          <w:sz w:val="24"/>
          <w:szCs w:val="24"/>
          <w:vertAlign w:val="superscript"/>
        </w:rPr>
        <w:t>21</w:t>
      </w:r>
      <w:r w:rsidRPr="004D1966">
        <w:rPr>
          <w:rFonts w:asciiTheme="majorEastAsia" w:eastAsiaTheme="majorEastAsia" w:hAnsiTheme="majorEastAsia" w:cs="Google Sans"/>
          <w:color w:val="1F1F1F"/>
        </w:rPr>
        <w:t xml:space="preserve"> 중앙의 임상 관제 팀은 이 데이터를 원격으로 지속 검토하며, 환자의 생체 지표가 사전에 설정된 정상 범위를 이탈할 경우 즉각적인 알람(Alert)을 받아 적시에 적절한 의료적 개입을 실행한다.</w:t>
      </w:r>
      <w:r w:rsidRPr="004D1966">
        <w:rPr>
          <w:rFonts w:asciiTheme="majorEastAsia" w:eastAsiaTheme="majorEastAsia" w:hAnsiTheme="majorEastAsia" w:cs="Google Sans"/>
          <w:color w:val="444746"/>
          <w:sz w:val="24"/>
          <w:szCs w:val="24"/>
          <w:vertAlign w:val="superscript"/>
        </w:rPr>
        <w:t>21</w:t>
      </w:r>
    </w:p>
    <w:p w14:paraId="6B9DD35F"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이는 단순히 환자의 편의성을 높이는 것을 넘어, 병상의 한계로 인해 조기 퇴원하거나 입원이 불가능했던 환자들의 불필요한 입원(Avoidable admissions)을 방지하고 빠른 지역사회 복귀를 지원하여 국가 의료 시스템의 자원 효율성을 극대화한다.</w:t>
      </w:r>
      <w:r w:rsidRPr="004D1966">
        <w:rPr>
          <w:rFonts w:asciiTheme="majorEastAsia" w:eastAsiaTheme="majorEastAsia" w:hAnsiTheme="majorEastAsia" w:cs="Google Sans"/>
          <w:color w:val="444746"/>
          <w:sz w:val="24"/>
          <w:szCs w:val="24"/>
          <w:vertAlign w:val="superscript"/>
        </w:rPr>
        <w:t>21</w:t>
      </w:r>
      <w:r w:rsidRPr="004D1966">
        <w:rPr>
          <w:rFonts w:asciiTheme="majorEastAsia" w:eastAsiaTheme="majorEastAsia" w:hAnsiTheme="majorEastAsia" w:cs="Google Sans"/>
          <w:color w:val="1F1F1F"/>
        </w:rPr>
        <w:t xml:space="preserve"> 기업 보건의 관점에서도 가상 병동은 엄청난 의미를 지닌다. 장기간의 입원으로 인해 발생하던 경력 단절과 소득 상실을 최소화하고, 재택근무가 가능한 지식 근로자의 경우 치료와 최소한의 업무를 병행할 수 있는 유연성을 제공하기 때문이다.</w:t>
      </w:r>
    </w:p>
    <w:p w14:paraId="20C2C778" w14:textId="77777777" w:rsidR="009B5916" w:rsidRPr="004D1966" w:rsidRDefault="00000000">
      <w:pPr>
        <w:pStyle w:val="3"/>
        <w:spacing w:before="0" w:after="12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4.2. 가상 병동 생태계의 민간 혁신 사례</w:t>
      </w:r>
    </w:p>
    <w:p w14:paraId="6B6B060E"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color w:val="444746"/>
          <w:sz w:val="24"/>
          <w:szCs w:val="24"/>
          <w:vertAlign w:val="superscript"/>
        </w:rPr>
      </w:pPr>
      <w:r w:rsidRPr="004D1966">
        <w:rPr>
          <w:rFonts w:asciiTheme="majorEastAsia" w:eastAsiaTheme="majorEastAsia" w:hAnsiTheme="majorEastAsia" w:cs="Google Sans"/>
          <w:color w:val="1F1F1F"/>
        </w:rPr>
        <w:t>가상 병동의 성공은 NHS 단독의 역량이 아닌, Access Group, Doccla, Huma, Current Health, Virtual Ward Technologies 등 최첨단 디지털 헬스케어 스타트업 및 기술 파트너들과의 긴밀한 협업 생태계를 통해 이루어지고 있다.</w:t>
      </w:r>
      <w:r w:rsidRPr="004D1966">
        <w:rPr>
          <w:rFonts w:asciiTheme="majorEastAsia" w:eastAsiaTheme="majorEastAsia" w:hAnsiTheme="majorEastAsia" w:cs="Google Sans"/>
          <w:color w:val="444746"/>
          <w:sz w:val="24"/>
          <w:szCs w:val="24"/>
          <w:vertAlign w:val="superscript"/>
        </w:rPr>
        <w:t>22</w:t>
      </w:r>
    </w:p>
    <w:p w14:paraId="03D44186"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color w:val="444746"/>
          <w:sz w:val="24"/>
          <w:szCs w:val="24"/>
          <w:vertAlign w:val="superscript"/>
        </w:rPr>
      </w:pPr>
      <w:r w:rsidRPr="004D1966">
        <w:rPr>
          <w:rFonts w:asciiTheme="majorEastAsia" w:eastAsiaTheme="majorEastAsia" w:hAnsiTheme="majorEastAsia" w:cs="Google Sans"/>
          <w:color w:val="1F1F1F"/>
        </w:rPr>
        <w:t>영국 리즈(Leeds) 지역에서 실시된 중증 노쇠(Frailty) 환자 대상의 가상 병동 파일럿은 하루 최대 40명의 환자를 자택에서 관리하며, 2019년 11월 출범 이후 무려 10,000일의 병상 입원 일수를 절감하는 경이적인 성과를 기록했다.</w:t>
      </w:r>
      <w:r w:rsidRPr="004D1966">
        <w:rPr>
          <w:rFonts w:asciiTheme="majorEastAsia" w:eastAsiaTheme="majorEastAsia" w:hAnsiTheme="majorEastAsia" w:cs="Google Sans"/>
          <w:color w:val="444746"/>
          <w:sz w:val="24"/>
          <w:szCs w:val="24"/>
          <w:vertAlign w:val="superscript"/>
        </w:rPr>
        <w:t>26</w:t>
      </w:r>
      <w:r w:rsidRPr="004D1966">
        <w:rPr>
          <w:rFonts w:asciiTheme="majorEastAsia" w:eastAsiaTheme="majorEastAsia" w:hAnsiTheme="majorEastAsia" w:cs="Google Sans"/>
          <w:color w:val="1F1F1F"/>
        </w:rPr>
        <w:t xml:space="preserve"> 또한 그레이터 맨체스터(Greater Manchester)에서는 상용화된 웨어러블 건강 센서를 활용하여 암 환자의 활력 징후 디지털 지문을 생성하고, 이를 통해 항암 치료 후 회복 경과를 의사가 원격으로 정밀하게 추적하는 임상 시험이 가동되었다.</w:t>
      </w:r>
      <w:r w:rsidRPr="004D1966">
        <w:rPr>
          <w:rFonts w:asciiTheme="majorEastAsia" w:eastAsiaTheme="majorEastAsia" w:hAnsiTheme="majorEastAsia" w:cs="Google Sans"/>
          <w:color w:val="444746"/>
          <w:sz w:val="24"/>
          <w:szCs w:val="24"/>
          <w:vertAlign w:val="superscript"/>
        </w:rPr>
        <w:t>26</w:t>
      </w:r>
    </w:p>
    <w:p w14:paraId="00E25DAB"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첨단 기술의 도입은 모니터링에만 국한되지 않는다. 잉글랜드의 한 선도적인 종양학 센터에서는 마이크로소프트 홀로렌즈 2(Microsoft HoloLens 2)라는 무선 웨어러블 증강현실(AR) 헤드셋을 활용하여 가상 회진(Virtual ward rounds)과 임상 실습을 진행하는 파일럿 연구를 성공적으로 수행했다.</w:t>
      </w:r>
      <w:r w:rsidRPr="004D1966">
        <w:rPr>
          <w:rFonts w:asciiTheme="majorEastAsia" w:eastAsiaTheme="majorEastAsia" w:hAnsiTheme="majorEastAsia" w:cs="Google Sans"/>
          <w:color w:val="444746"/>
          <w:sz w:val="24"/>
          <w:szCs w:val="24"/>
          <w:vertAlign w:val="superscript"/>
        </w:rPr>
        <w:t>27</w:t>
      </w:r>
      <w:r w:rsidRPr="004D1966">
        <w:rPr>
          <w:rFonts w:asciiTheme="majorEastAsia" w:eastAsiaTheme="majorEastAsia" w:hAnsiTheme="majorEastAsia" w:cs="Google Sans"/>
          <w:color w:val="1F1F1F"/>
        </w:rPr>
        <w:t xml:space="preserve"> AR 헤드셋을 착용한 담당 의사가 환자를 대면 진료할 때, 그 시야와 현장의 정보가 엔드투엔드 암호화를 지원하는 Microsoft Teams 플랫폼(NHS Digital 공식 인증)을 통해 원격지에 있는 전문의나 의대생들에게 고화질로 라이브 스트리밍된다.</w:t>
      </w:r>
      <w:r w:rsidRPr="004D1966">
        <w:rPr>
          <w:rFonts w:asciiTheme="majorEastAsia" w:eastAsiaTheme="majorEastAsia" w:hAnsiTheme="majorEastAsia" w:cs="Google Sans"/>
          <w:color w:val="444746"/>
          <w:sz w:val="24"/>
          <w:szCs w:val="24"/>
          <w:vertAlign w:val="superscript"/>
        </w:rPr>
        <w:t>27</w:t>
      </w:r>
      <w:r w:rsidRPr="004D1966">
        <w:rPr>
          <w:rFonts w:asciiTheme="majorEastAsia" w:eastAsiaTheme="majorEastAsia" w:hAnsiTheme="majorEastAsia" w:cs="Google Sans"/>
          <w:color w:val="1F1F1F"/>
        </w:rPr>
        <w:t xml:space="preserve"> 이는 향후 기업 내 보건 관리자가 AR 기기를 착용하고 현장 근로자의 부상이나 질환 상태를 파악할 때, 원격지에 있는 외부 직업 환경 의학 전문의가 실시간으로 조언을 제공할 수 있는 고도화된 하이브리드 기업 보건 진단 모델로 발전할 무한한 잠재력을 시사한다.</w:t>
      </w:r>
    </w:p>
    <w:p w14:paraId="07300E24" w14:textId="77777777" w:rsidR="009B5916" w:rsidRPr="004D1966" w:rsidRDefault="00000000">
      <w:pPr>
        <w:pStyle w:val="2"/>
        <w:spacing w:before="0" w:after="12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5. 웨어러블 기술의 진화: 일상적 추적에서 임상적 예측으로</w:t>
      </w:r>
    </w:p>
    <w:p w14:paraId="599B2437"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color w:val="444746"/>
          <w:sz w:val="24"/>
          <w:szCs w:val="24"/>
          <w:vertAlign w:val="superscript"/>
        </w:rPr>
      </w:pPr>
      <w:r w:rsidRPr="004D1966">
        <w:rPr>
          <w:rFonts w:asciiTheme="majorEastAsia" w:eastAsiaTheme="majorEastAsia" w:hAnsiTheme="majorEastAsia" w:cs="Google Sans"/>
          <w:color w:val="1F1F1F"/>
        </w:rPr>
        <w:t>NHS의 가상 병동과 기업 보건의 선제적 관리가 종이 위의 계획에 머물지 않고 현실의 데이터로 작동하게 만드는 중추적 동력은 웨어러블 기술(Wearable Technology)이다. 글로벌 웨어러블 헬스케어 기기 시장은 2028년까지 약 692억 달러(약 92조 원) 규모로 폭발적인 성장을 이룰 것으로 전망되며, 이는 단순한 디지털 기기의 확산이 아니라 의료 데이터 수집 방식의 근본적인 혁명이다.</w:t>
      </w:r>
      <w:r w:rsidRPr="004D1966">
        <w:rPr>
          <w:rFonts w:asciiTheme="majorEastAsia" w:eastAsiaTheme="majorEastAsia" w:hAnsiTheme="majorEastAsia" w:cs="Google Sans"/>
          <w:color w:val="444746"/>
          <w:sz w:val="24"/>
          <w:szCs w:val="24"/>
          <w:vertAlign w:val="superscript"/>
        </w:rPr>
        <w:t>4</w:t>
      </w:r>
    </w:p>
    <w:p w14:paraId="2FC92C9C"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color w:val="444746"/>
          <w:sz w:val="24"/>
          <w:szCs w:val="24"/>
          <w:vertAlign w:val="superscript"/>
        </w:rPr>
      </w:pPr>
      <w:r w:rsidRPr="004D1966">
        <w:rPr>
          <w:rFonts w:asciiTheme="majorEastAsia" w:eastAsiaTheme="majorEastAsia" w:hAnsiTheme="majorEastAsia" w:cs="Google Sans"/>
          <w:color w:val="1F1F1F"/>
        </w:rPr>
        <w:t>웨어러블 기기는 그 정밀도와 활용 목적에 따라 크게 두 가지 카테고리로 분류되며, 기업 보건 전략은 이 두 가지를 목적에 맞게 하이브리드 형태로 구성해야 한다.</w:t>
      </w:r>
      <w:r w:rsidRPr="004D1966">
        <w:rPr>
          <w:rFonts w:asciiTheme="majorEastAsia" w:eastAsiaTheme="majorEastAsia" w:hAnsiTheme="majorEastAsia" w:cs="Google Sans"/>
          <w:color w:val="444746"/>
          <w:sz w:val="24"/>
          <w:szCs w:val="24"/>
          <w:vertAlign w:val="superscript"/>
        </w:rPr>
        <w:t>4</w:t>
      </w:r>
    </w:p>
    <w:p w14:paraId="53C11791" w14:textId="77777777" w:rsidR="009B5916" w:rsidRPr="004D1966" w:rsidRDefault="00000000">
      <w:pPr>
        <w:pStyle w:val="3"/>
        <w:spacing w:before="0" w:after="12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5.1. 소비자 등급(Consumer-grade) 웨어러블의 웰니스 혁신</w:t>
      </w:r>
    </w:p>
    <w:p w14:paraId="31B1E6AD"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color w:val="444746"/>
          <w:sz w:val="24"/>
          <w:szCs w:val="24"/>
          <w:vertAlign w:val="superscript"/>
        </w:rPr>
      </w:pPr>
      <w:r w:rsidRPr="004D1966">
        <w:rPr>
          <w:rFonts w:asciiTheme="majorEastAsia" w:eastAsiaTheme="majorEastAsia" w:hAnsiTheme="majorEastAsia" w:cs="Google Sans"/>
          <w:color w:val="1F1F1F"/>
        </w:rPr>
        <w:t>소비자 등급 웨어러블 기기는 핏빗(Fitbit), 가민(Garmin), 일반적인 스마트워치(Apple Watch 등)를 포함하며, 심박수, 일일 걸음 수, 소모 칼로리, 수면 패턴 등 기본적인 라이프스타일 지표를 추적하는 데 최적화되어 있다.</w:t>
      </w:r>
      <w:r w:rsidRPr="004D1966">
        <w:rPr>
          <w:rFonts w:asciiTheme="majorEastAsia" w:eastAsiaTheme="majorEastAsia" w:hAnsiTheme="majorEastAsia" w:cs="Google Sans"/>
          <w:color w:val="444746"/>
          <w:sz w:val="24"/>
          <w:szCs w:val="24"/>
          <w:vertAlign w:val="superscript"/>
        </w:rPr>
        <w:t>4</w:t>
      </w:r>
      <w:r w:rsidRPr="004D1966">
        <w:rPr>
          <w:rFonts w:asciiTheme="majorEastAsia" w:eastAsiaTheme="majorEastAsia" w:hAnsiTheme="majorEastAsia" w:cs="Google Sans"/>
          <w:color w:val="1F1F1F"/>
        </w:rPr>
        <w:t xml:space="preserve"> 이 기기들은 질병을 확진하는 임상적 의사결정을 지원하기에는 센서의 정확도나 데이터 품질 면에서 한계가 있지만, 기업 차원의 웰빙(Well-being) 프로그램이나 피트니스 챌린지에서 직원들의 자발적 참여를 유도하고 일상적인 건강 행동 변화를 촉진하는 훌륭한 촉매제로 기능한다.</w:t>
      </w:r>
      <w:r w:rsidRPr="004D1966">
        <w:rPr>
          <w:rFonts w:asciiTheme="majorEastAsia" w:eastAsiaTheme="majorEastAsia" w:hAnsiTheme="majorEastAsia" w:cs="Google Sans"/>
          <w:color w:val="444746"/>
          <w:sz w:val="24"/>
          <w:szCs w:val="24"/>
          <w:vertAlign w:val="superscript"/>
        </w:rPr>
        <w:t>4</w:t>
      </w:r>
    </w:p>
    <w:p w14:paraId="10EB3BE3"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color w:val="444746"/>
          <w:sz w:val="24"/>
          <w:szCs w:val="24"/>
          <w:vertAlign w:val="superscript"/>
        </w:rPr>
      </w:pPr>
      <w:r w:rsidRPr="004D1966">
        <w:rPr>
          <w:rFonts w:asciiTheme="majorEastAsia" w:eastAsiaTheme="majorEastAsia" w:hAnsiTheme="majorEastAsia" w:cs="Google Sans"/>
          <w:color w:val="1F1F1F"/>
        </w:rPr>
        <w:t>최근의 기술 발전은 소비자 등급 기기의 한계를 빠르게 극복하고 있다. 예를 들어, 연구자들은 Apple Watch Series 3와 5에 내장된 관성 측정 장치(IMUs)의 가속도 및 자이로스코프 센서에서 100Hz의 빈도로 실시간 관성 데이터를 추출하여, 이를 광학 모션 트래킹 기반의 골드 스탠더드(Gold-standard) 임상 장비와 비교 검증하는 실험을 진행했다.</w:t>
      </w:r>
      <w:r w:rsidRPr="004D1966">
        <w:rPr>
          <w:rFonts w:asciiTheme="majorEastAsia" w:eastAsiaTheme="majorEastAsia" w:hAnsiTheme="majorEastAsia" w:cs="Google Sans"/>
          <w:color w:val="444746"/>
          <w:sz w:val="24"/>
          <w:szCs w:val="24"/>
          <w:vertAlign w:val="superscript"/>
        </w:rPr>
        <w:t>29</w:t>
      </w:r>
      <w:r w:rsidRPr="004D1966">
        <w:rPr>
          <w:rFonts w:asciiTheme="majorEastAsia" w:eastAsiaTheme="majorEastAsia" w:hAnsiTheme="majorEastAsia" w:cs="Google Sans"/>
          <w:color w:val="1F1F1F"/>
        </w:rPr>
        <w:t xml:space="preserve"> 그 결과 최신 스마트워치가 인간의 동작을 평가하는 연구용 기기를 일정 부분 대체할 수 있을 만큼 센서 성능이 비약적으로 향상되었음이 입증되었다.</w:t>
      </w:r>
      <w:r w:rsidRPr="004D1966">
        <w:rPr>
          <w:rFonts w:asciiTheme="majorEastAsia" w:eastAsiaTheme="majorEastAsia" w:hAnsiTheme="majorEastAsia" w:cs="Google Sans"/>
          <w:color w:val="444746"/>
          <w:sz w:val="24"/>
          <w:szCs w:val="24"/>
          <w:vertAlign w:val="superscript"/>
        </w:rPr>
        <w:t>29</w:t>
      </w:r>
    </w:p>
    <w:p w14:paraId="2B65406B" w14:textId="77777777" w:rsidR="009B5916" w:rsidRPr="004D1966" w:rsidRDefault="00000000">
      <w:pPr>
        <w:pStyle w:val="3"/>
        <w:spacing w:before="0" w:after="12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5.2. 임상 등급(Clinical-grade) 웨어러블과 정밀 데이터</w:t>
      </w:r>
    </w:p>
    <w:p w14:paraId="66651140" w14:textId="77777777" w:rsidR="009B5916" w:rsidRPr="004D1966" w:rsidRDefault="00000000">
      <w:pPr>
        <w:pBdr>
          <w:top w:val="nil"/>
          <w:left w:val="nil"/>
          <w:bottom w:val="nil"/>
          <w:right w:val="nil"/>
          <w:between w:val="nil"/>
        </w:pBdr>
        <w:spacing w:after="120" w:line="275" w:lineRule="auto"/>
        <w:rPr>
          <w:rFonts w:asciiTheme="majorEastAsia" w:eastAsiaTheme="majorEastAsia" w:hAnsiTheme="majorEastAsia" w:cs="Google Sans"/>
          <w:color w:val="444746"/>
          <w:sz w:val="24"/>
          <w:szCs w:val="24"/>
          <w:vertAlign w:val="superscript"/>
        </w:rPr>
      </w:pPr>
      <w:r w:rsidRPr="004D1966">
        <w:rPr>
          <w:rFonts w:asciiTheme="majorEastAsia" w:eastAsiaTheme="majorEastAsia" w:hAnsiTheme="majorEastAsia" w:cs="Google Sans"/>
          <w:color w:val="1F1F1F"/>
        </w:rPr>
        <w:t>의료 당국의 엄격한 규제 감독을 받고 임상 연구를 통해 유효성이 검증된 임상 등급 웨어러블은 기업 내 만성 질환 관리와 고위험군 모니터링을 위한 필수 장비이다.</w:t>
      </w:r>
      <w:r w:rsidRPr="004D1966">
        <w:rPr>
          <w:rFonts w:asciiTheme="majorEastAsia" w:eastAsiaTheme="majorEastAsia" w:hAnsiTheme="majorEastAsia" w:cs="Google Sans"/>
          <w:color w:val="444746"/>
          <w:sz w:val="24"/>
          <w:szCs w:val="24"/>
          <w:vertAlign w:val="superscript"/>
        </w:rPr>
        <w:t>4</w:t>
      </w:r>
    </w:p>
    <w:p w14:paraId="4E53AFEC" w14:textId="77777777" w:rsidR="009B5916" w:rsidRPr="004D1966" w:rsidRDefault="00000000">
      <w:pPr>
        <w:numPr>
          <w:ilvl w:val="0"/>
          <w:numId w:val="1"/>
        </w:numPr>
        <w:pBdr>
          <w:top w:val="nil"/>
          <w:left w:val="nil"/>
          <w:bottom w:val="nil"/>
          <w:right w:val="nil"/>
          <w:between w:val="nil"/>
        </w:pBdr>
        <w:spacing w:line="275" w:lineRule="auto"/>
        <w:rPr>
          <w:rFonts w:asciiTheme="majorEastAsia" w:eastAsiaTheme="majorEastAsia" w:hAnsiTheme="majorEastAsia"/>
        </w:rPr>
      </w:pPr>
      <w:r w:rsidRPr="004D1966">
        <w:rPr>
          <w:rFonts w:asciiTheme="majorEastAsia" w:eastAsiaTheme="majorEastAsia" w:hAnsiTheme="majorEastAsia" w:cs="Google Sans"/>
          <w:b/>
          <w:bCs/>
          <w:color w:val="1F1F1F"/>
        </w:rPr>
        <w:t>연속 혈당 측정기(CGMs):</w:t>
      </w:r>
      <w:r w:rsidRPr="004D1966">
        <w:rPr>
          <w:rFonts w:asciiTheme="majorEastAsia" w:eastAsiaTheme="majorEastAsia" w:hAnsiTheme="majorEastAsia" w:cs="Google Sans"/>
          <w:color w:val="1F1F1F"/>
        </w:rPr>
        <w:t xml:space="preserve"> 당뇨 및 대사 증후군을 앓고 있는 근로자가 채혈 없이 실시간으로 간질액의 포도당 농도를 추적할 수 있게 한다.</w:t>
      </w:r>
      <w:r w:rsidRPr="004D1966">
        <w:rPr>
          <w:rFonts w:asciiTheme="majorEastAsia" w:eastAsiaTheme="majorEastAsia" w:hAnsiTheme="majorEastAsia" w:cs="Google Sans"/>
          <w:color w:val="444746"/>
          <w:sz w:val="24"/>
          <w:szCs w:val="24"/>
          <w:vertAlign w:val="superscript"/>
        </w:rPr>
        <w:t>4</w:t>
      </w:r>
      <w:r w:rsidRPr="004D1966">
        <w:rPr>
          <w:rFonts w:asciiTheme="majorEastAsia" w:eastAsiaTheme="majorEastAsia" w:hAnsiTheme="majorEastAsia" w:cs="Google Sans"/>
          <w:color w:val="1F1F1F"/>
        </w:rPr>
        <w:t xml:space="preserve"> 업무 스트레스, 식단, 운동량이 혈당에 미치는 영향을 즉각적으로 시각화하여 치명적인 급성 합병증을 예방한다.</w:t>
      </w:r>
      <w:r w:rsidRPr="004D1966">
        <w:rPr>
          <w:rFonts w:asciiTheme="majorEastAsia" w:eastAsiaTheme="majorEastAsia" w:hAnsiTheme="majorEastAsia" w:cs="Google Sans"/>
          <w:color w:val="444746"/>
          <w:sz w:val="24"/>
          <w:szCs w:val="24"/>
          <w:vertAlign w:val="superscript"/>
        </w:rPr>
        <w:t>25</w:t>
      </w:r>
    </w:p>
    <w:p w14:paraId="7B90CB3F" w14:textId="77777777" w:rsidR="009B5916" w:rsidRPr="004D1966" w:rsidRDefault="00000000">
      <w:pPr>
        <w:numPr>
          <w:ilvl w:val="0"/>
          <w:numId w:val="1"/>
        </w:numPr>
        <w:pBdr>
          <w:top w:val="nil"/>
          <w:left w:val="nil"/>
          <w:bottom w:val="nil"/>
          <w:right w:val="nil"/>
          <w:between w:val="nil"/>
        </w:pBdr>
        <w:spacing w:line="275" w:lineRule="auto"/>
        <w:rPr>
          <w:rFonts w:asciiTheme="majorEastAsia" w:eastAsiaTheme="majorEastAsia" w:hAnsiTheme="majorEastAsia"/>
        </w:rPr>
      </w:pPr>
      <w:r w:rsidRPr="004D1966">
        <w:rPr>
          <w:rFonts w:asciiTheme="majorEastAsia" w:eastAsiaTheme="majorEastAsia" w:hAnsiTheme="majorEastAsia" w:cs="Google Sans"/>
          <w:b/>
          <w:bCs/>
          <w:color w:val="1F1F1F"/>
        </w:rPr>
        <w:t>심전도(ECG) 모니터 및 스마트 패치:</w:t>
      </w:r>
      <w:r w:rsidRPr="004D1966">
        <w:rPr>
          <w:rFonts w:asciiTheme="majorEastAsia" w:eastAsiaTheme="majorEastAsia" w:hAnsiTheme="majorEastAsia" w:cs="Google Sans"/>
          <w:color w:val="1F1F1F"/>
        </w:rPr>
        <w:t xml:space="preserve"> VitalPatch나 Biofourmis 플랫폼과 같은 웨어러블 센서는 흉부나 액와(겨드랑이)에 부착되어 체온, 심박변이도(HRV), 호흡수, 부정맥 징후를 24시간 끊김 없이 모니터링한다.</w:t>
      </w:r>
      <w:r w:rsidRPr="004D1966">
        <w:rPr>
          <w:rFonts w:asciiTheme="majorEastAsia" w:eastAsiaTheme="majorEastAsia" w:hAnsiTheme="majorEastAsia" w:cs="Google Sans"/>
          <w:color w:val="444746"/>
          <w:sz w:val="24"/>
          <w:szCs w:val="24"/>
          <w:vertAlign w:val="superscript"/>
        </w:rPr>
        <w:t>4</w:t>
      </w:r>
      <w:r w:rsidRPr="004D1966">
        <w:rPr>
          <w:rFonts w:asciiTheme="majorEastAsia" w:eastAsiaTheme="majorEastAsia" w:hAnsiTheme="majorEastAsia" w:cs="Google Sans"/>
          <w:color w:val="1F1F1F"/>
        </w:rPr>
        <w:t xml:space="preserve"> 이 데이터는 클라우드로 전송되어 패혈증이나 심부전 발작과 같은 위급 상황을 발현 전에 예측하는 데 사용된다.</w:t>
      </w:r>
      <w:r w:rsidRPr="004D1966">
        <w:rPr>
          <w:rFonts w:asciiTheme="majorEastAsia" w:eastAsiaTheme="majorEastAsia" w:hAnsiTheme="majorEastAsia" w:cs="Google Sans"/>
          <w:color w:val="444746"/>
          <w:sz w:val="24"/>
          <w:szCs w:val="24"/>
          <w:vertAlign w:val="superscript"/>
        </w:rPr>
        <w:t>31</w:t>
      </w:r>
    </w:p>
    <w:p w14:paraId="7CD219E8" w14:textId="77777777" w:rsidR="009B5916" w:rsidRPr="004D1966" w:rsidRDefault="00000000">
      <w:pPr>
        <w:numPr>
          <w:ilvl w:val="0"/>
          <w:numId w:val="1"/>
        </w:numPr>
        <w:pBdr>
          <w:top w:val="nil"/>
          <w:left w:val="nil"/>
          <w:bottom w:val="nil"/>
          <w:right w:val="nil"/>
          <w:between w:val="nil"/>
        </w:pBdr>
        <w:spacing w:after="120" w:line="275" w:lineRule="auto"/>
        <w:rPr>
          <w:rFonts w:asciiTheme="majorEastAsia" w:eastAsiaTheme="majorEastAsia" w:hAnsiTheme="majorEastAsia"/>
        </w:rPr>
      </w:pPr>
      <w:r w:rsidRPr="004D1966">
        <w:rPr>
          <w:rFonts w:asciiTheme="majorEastAsia" w:eastAsiaTheme="majorEastAsia" w:hAnsiTheme="majorEastAsia" w:cs="Google Sans"/>
          <w:b/>
          <w:bCs/>
          <w:color w:val="1F1F1F"/>
        </w:rPr>
        <w:t>인체공학적 동작 센서:</w:t>
      </w:r>
      <w:r w:rsidRPr="004D1966">
        <w:rPr>
          <w:rFonts w:asciiTheme="majorEastAsia" w:eastAsiaTheme="majorEastAsia" w:hAnsiTheme="majorEastAsia" w:cs="Google Sans"/>
          <w:color w:val="1F1F1F"/>
        </w:rPr>
        <w:t xml:space="preserve"> 관성 측정 장치(IMUs)와 섬유 광학 센서, 소프트 웨어러블 센서 등은 척추(흉추 및 요추), 상지 등 특정 신체 부위의 미세한 굽힘 각도와 반복 하중을 정밀하게 측정한다.</w:t>
      </w:r>
      <w:r w:rsidRPr="004D1966">
        <w:rPr>
          <w:rFonts w:asciiTheme="majorEastAsia" w:eastAsiaTheme="majorEastAsia" w:hAnsiTheme="majorEastAsia" w:cs="Google Sans"/>
          <w:color w:val="444746"/>
          <w:sz w:val="24"/>
          <w:szCs w:val="24"/>
          <w:vertAlign w:val="superscript"/>
        </w:rPr>
        <w:t>33</w:t>
      </w:r>
    </w:p>
    <w:p w14:paraId="2338DA63" w14:textId="77777777" w:rsidR="009B5916" w:rsidRPr="004D1966" w:rsidRDefault="00000000">
      <w:pPr>
        <w:pStyle w:val="3"/>
        <w:spacing w:after="12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5.3. 데이터 품질 확보와 벤치마킹의 한계 극복</w:t>
      </w:r>
    </w:p>
    <w:p w14:paraId="571EBA3E"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color w:val="444746"/>
          <w:sz w:val="24"/>
          <w:szCs w:val="24"/>
          <w:vertAlign w:val="superscript"/>
        </w:rPr>
      </w:pPr>
      <w:r w:rsidRPr="004D1966">
        <w:rPr>
          <w:rFonts w:asciiTheme="majorEastAsia" w:eastAsiaTheme="majorEastAsia" w:hAnsiTheme="majorEastAsia" w:cs="Google Sans"/>
          <w:color w:val="1F1F1F"/>
        </w:rPr>
        <w:t>웨어러블이 임상적 가치를 온전히 발휘하기 위해서는 기기에서 생성되는 데이터의 품질과 무결성(Integrity)이 무엇보다 중요하다. 센서 데이터가 방대하더라도 배터리 수명 부족으로 인한 기기 방전, 착용의 불편함으로 인한 사용자의 잦은 탈착 등으로 데이터 누락(Gaps)이 발생하면 기계 학습 모델의 예측 정확도는 급감한다.</w:t>
      </w:r>
      <w:r w:rsidRPr="004D1966">
        <w:rPr>
          <w:rFonts w:asciiTheme="majorEastAsia" w:eastAsiaTheme="majorEastAsia" w:hAnsiTheme="majorEastAsia" w:cs="Google Sans"/>
          <w:color w:val="444746"/>
          <w:sz w:val="24"/>
          <w:szCs w:val="24"/>
          <w:vertAlign w:val="superscript"/>
        </w:rPr>
        <w:t>31</w:t>
      </w:r>
    </w:p>
    <w:p w14:paraId="50DBB1CB"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color w:val="444746"/>
          <w:sz w:val="24"/>
          <w:szCs w:val="24"/>
          <w:vertAlign w:val="superscript"/>
        </w:rPr>
      </w:pPr>
      <w:r w:rsidRPr="004D1966">
        <w:rPr>
          <w:rFonts w:asciiTheme="majorEastAsia" w:eastAsiaTheme="majorEastAsia" w:hAnsiTheme="majorEastAsia" w:cs="Google Sans"/>
          <w:color w:val="1F1F1F"/>
        </w:rPr>
        <w:t>또한 다양한 제조사(예: Garmin vs Fitbit) 간의 알고리즘 차이로 인해 발생하는 데이터의 비일관성을 해결하기 위해, 노이즈 플로어(Noise floor)를 정량화하고 수집된 데이터를 골드 스탠더드 장비와 지속적으로 벤치마킹하는 임상적 검증 작업이 필수적이다.</w:t>
      </w:r>
      <w:r w:rsidRPr="004D1966">
        <w:rPr>
          <w:rFonts w:asciiTheme="majorEastAsia" w:eastAsiaTheme="majorEastAsia" w:hAnsiTheme="majorEastAsia" w:cs="Google Sans"/>
          <w:color w:val="444746"/>
          <w:sz w:val="24"/>
          <w:szCs w:val="24"/>
          <w:vertAlign w:val="superscript"/>
        </w:rPr>
        <w:t>31</w:t>
      </w:r>
      <w:r w:rsidRPr="004D1966">
        <w:rPr>
          <w:rFonts w:asciiTheme="majorEastAsia" w:eastAsiaTheme="majorEastAsia" w:hAnsiTheme="majorEastAsia" w:cs="Google Sans"/>
          <w:color w:val="1F1F1F"/>
        </w:rPr>
        <w:t xml:space="preserve"> 나아가 의료진과 기업 보건 관리자가 불필요한 알람의 홍수에 시달리는 '경보 피로(Alert fatigue)'를 피하기 위해, 방대한 생체 신호 중 진짜 위험 신호만을 걸러내는 엣지 컴퓨팅(Edge computing)과 AI 기반 데이터 필터링 기술의 고도화가 요구된다.</w:t>
      </w:r>
      <w:r w:rsidRPr="004D1966">
        <w:rPr>
          <w:rFonts w:asciiTheme="majorEastAsia" w:eastAsiaTheme="majorEastAsia" w:hAnsiTheme="majorEastAsia" w:cs="Google Sans"/>
          <w:color w:val="444746"/>
          <w:sz w:val="24"/>
          <w:szCs w:val="24"/>
          <w:vertAlign w:val="superscript"/>
        </w:rPr>
        <w:t>32</w:t>
      </w:r>
    </w:p>
    <w:p w14:paraId="17408759" w14:textId="77777777" w:rsidR="009B5916" w:rsidRPr="004D1966" w:rsidRDefault="009B5916">
      <w:pPr>
        <w:pBdr>
          <w:top w:val="nil"/>
          <w:left w:val="nil"/>
          <w:bottom w:val="nil"/>
          <w:right w:val="nil"/>
          <w:between w:val="nil"/>
        </w:pBdr>
        <w:spacing w:line="275" w:lineRule="auto"/>
        <w:rPr>
          <w:rFonts w:asciiTheme="majorEastAsia" w:eastAsiaTheme="majorEastAsia" w:hAnsiTheme="majorEastAsia" w:cs="Google Sans"/>
          <w:color w:val="444746"/>
          <w:sz w:val="24"/>
          <w:szCs w:val="24"/>
          <w:vertAlign w:val="superscript"/>
        </w:rPr>
      </w:pPr>
    </w:p>
    <w:tbl>
      <w:tblPr>
        <w:tblStyle w:val="a7"/>
        <w:tblW w:w="9360" w:type="dxa"/>
        <w:tblInd w:w="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3120"/>
        <w:gridCol w:w="3120"/>
        <w:gridCol w:w="3120"/>
      </w:tblGrid>
      <w:tr w:rsidR="009B5916" w:rsidRPr="004D1966" w14:paraId="628823F5" w14:textId="77777777">
        <w:tc>
          <w:tcPr>
            <w:tcW w:w="312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21952991" w14:textId="77777777" w:rsidR="009B5916" w:rsidRPr="004D1966" w:rsidRDefault="00000000">
            <w:pPr>
              <w:pBdr>
                <w:top w:val="nil"/>
                <w:left w:val="nil"/>
                <w:bottom w:val="nil"/>
                <w:right w:val="nil"/>
                <w:between w:val="nil"/>
              </w:pBdr>
              <w:spacing w:before="120" w:after="120" w:line="275" w:lineRule="auto"/>
              <w:rPr>
                <w:rFonts w:asciiTheme="majorEastAsia" w:eastAsiaTheme="majorEastAsia" w:hAnsiTheme="majorEastAsia" w:cs="Google Sans"/>
                <w:b/>
                <w:bCs/>
                <w:color w:val="1F1F1F"/>
              </w:rPr>
            </w:pPr>
            <w:r w:rsidRPr="004D1966">
              <w:rPr>
                <w:rFonts w:asciiTheme="majorEastAsia" w:eastAsiaTheme="majorEastAsia" w:hAnsiTheme="majorEastAsia" w:cs="Google Sans"/>
                <w:b/>
                <w:bCs/>
                <w:color w:val="1F1F1F"/>
              </w:rPr>
              <w:t>웨어러블 기기 분류</w:t>
            </w:r>
          </w:p>
        </w:tc>
        <w:tc>
          <w:tcPr>
            <w:tcW w:w="312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7268570C" w14:textId="77777777" w:rsidR="009B5916" w:rsidRPr="004D1966" w:rsidRDefault="00000000">
            <w:pPr>
              <w:pBdr>
                <w:top w:val="nil"/>
                <w:left w:val="nil"/>
                <w:bottom w:val="nil"/>
                <w:right w:val="nil"/>
                <w:between w:val="nil"/>
              </w:pBdr>
              <w:spacing w:before="120" w:after="120" w:line="275" w:lineRule="auto"/>
              <w:rPr>
                <w:rFonts w:asciiTheme="majorEastAsia" w:eastAsiaTheme="majorEastAsia" w:hAnsiTheme="majorEastAsia" w:cs="Google Sans"/>
                <w:b/>
                <w:bCs/>
                <w:color w:val="1F1F1F"/>
              </w:rPr>
            </w:pPr>
            <w:r w:rsidRPr="004D1966">
              <w:rPr>
                <w:rFonts w:asciiTheme="majorEastAsia" w:eastAsiaTheme="majorEastAsia" w:hAnsiTheme="majorEastAsia" w:cs="Google Sans"/>
                <w:b/>
                <w:bCs/>
                <w:color w:val="1F1F1F"/>
              </w:rPr>
              <w:t>대표 기기 및 센서 유형</w:t>
            </w:r>
          </w:p>
        </w:tc>
        <w:tc>
          <w:tcPr>
            <w:tcW w:w="312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27E04A1E" w14:textId="77777777" w:rsidR="009B5916" w:rsidRPr="004D1966" w:rsidRDefault="00000000">
            <w:pPr>
              <w:pBdr>
                <w:top w:val="nil"/>
                <w:left w:val="nil"/>
                <w:bottom w:val="nil"/>
                <w:right w:val="nil"/>
                <w:between w:val="nil"/>
              </w:pBdr>
              <w:spacing w:before="120" w:after="120" w:line="275" w:lineRule="auto"/>
              <w:rPr>
                <w:rFonts w:asciiTheme="majorEastAsia" w:eastAsiaTheme="majorEastAsia" w:hAnsiTheme="majorEastAsia" w:cs="Google Sans"/>
                <w:b/>
                <w:bCs/>
                <w:color w:val="1F1F1F"/>
              </w:rPr>
            </w:pPr>
            <w:r w:rsidRPr="004D1966">
              <w:rPr>
                <w:rFonts w:asciiTheme="majorEastAsia" w:eastAsiaTheme="majorEastAsia" w:hAnsiTheme="majorEastAsia" w:cs="Google Sans"/>
                <w:b/>
                <w:bCs/>
                <w:color w:val="1F1F1F"/>
              </w:rPr>
              <w:t>임상 및 기업 보건 내 핵심 활용 사례</w:t>
            </w:r>
          </w:p>
        </w:tc>
      </w:tr>
      <w:tr w:rsidR="009B5916" w:rsidRPr="004D1966" w14:paraId="704E8DD2" w14:textId="77777777">
        <w:tc>
          <w:tcPr>
            <w:tcW w:w="312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1BD85DA6" w14:textId="77777777" w:rsidR="009B5916" w:rsidRPr="004D1966" w:rsidRDefault="00000000">
            <w:pPr>
              <w:pBdr>
                <w:top w:val="nil"/>
                <w:left w:val="nil"/>
                <w:bottom w:val="nil"/>
                <w:right w:val="nil"/>
                <w:between w:val="nil"/>
              </w:pBdr>
              <w:spacing w:before="120" w:after="120" w:line="275" w:lineRule="auto"/>
              <w:rPr>
                <w:rFonts w:asciiTheme="majorEastAsia" w:eastAsiaTheme="majorEastAsia" w:hAnsiTheme="majorEastAsia" w:cs="Google Sans"/>
                <w:b/>
                <w:bCs/>
                <w:color w:val="1F1F1F"/>
              </w:rPr>
            </w:pPr>
            <w:r w:rsidRPr="004D1966">
              <w:rPr>
                <w:rFonts w:asciiTheme="majorEastAsia" w:eastAsiaTheme="majorEastAsia" w:hAnsiTheme="majorEastAsia" w:cs="Google Sans"/>
                <w:b/>
                <w:bCs/>
                <w:color w:val="1F1F1F"/>
              </w:rPr>
              <w:t>소비자 등급 (Consumer-grade)</w:t>
            </w:r>
          </w:p>
        </w:tc>
        <w:tc>
          <w:tcPr>
            <w:tcW w:w="312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568D7581" w14:textId="77777777" w:rsidR="009B5916" w:rsidRPr="004D1966" w:rsidRDefault="00000000">
            <w:pPr>
              <w:pBdr>
                <w:top w:val="nil"/>
                <w:left w:val="nil"/>
                <w:bottom w:val="nil"/>
                <w:right w:val="nil"/>
                <w:between w:val="nil"/>
              </w:pBdr>
              <w:spacing w:line="275" w:lineRule="auto"/>
              <w:rPr>
                <w:rFonts w:asciiTheme="majorEastAsia" w:eastAsiaTheme="majorEastAsia" w:hAnsiTheme="majorEastAsia" w:cs="Google Sans"/>
                <w:color w:val="444746"/>
                <w:sz w:val="24"/>
                <w:szCs w:val="24"/>
                <w:vertAlign w:val="superscript"/>
              </w:rPr>
            </w:pPr>
            <w:r w:rsidRPr="004D1966">
              <w:rPr>
                <w:rFonts w:asciiTheme="majorEastAsia" w:eastAsiaTheme="majorEastAsia" w:hAnsiTheme="majorEastAsia" w:cs="Google Sans"/>
                <w:color w:val="1F1F1F"/>
              </w:rPr>
              <w:t xml:space="preserve">스마트워치(Apple, Garmin), 피트니스 트래커 </w:t>
            </w:r>
            <w:r w:rsidRPr="004D1966">
              <w:rPr>
                <w:rFonts w:asciiTheme="majorEastAsia" w:eastAsiaTheme="majorEastAsia" w:hAnsiTheme="majorEastAsia" w:cs="Google Sans"/>
                <w:color w:val="444746"/>
                <w:sz w:val="24"/>
                <w:szCs w:val="24"/>
                <w:vertAlign w:val="superscript"/>
              </w:rPr>
              <w:t>4</w:t>
            </w:r>
          </w:p>
        </w:tc>
        <w:tc>
          <w:tcPr>
            <w:tcW w:w="312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0BE1CBA7" w14:textId="77777777" w:rsidR="009B5916" w:rsidRPr="004D1966" w:rsidRDefault="00000000">
            <w:pPr>
              <w:pBdr>
                <w:top w:val="nil"/>
                <w:left w:val="nil"/>
                <w:bottom w:val="nil"/>
                <w:right w:val="nil"/>
                <w:between w:val="nil"/>
              </w:pBdr>
              <w:spacing w:line="275" w:lineRule="auto"/>
              <w:rPr>
                <w:rFonts w:asciiTheme="majorEastAsia" w:eastAsiaTheme="majorEastAsia" w:hAnsiTheme="majorEastAsia" w:cs="Google Sans"/>
                <w:color w:val="444746"/>
                <w:sz w:val="24"/>
                <w:szCs w:val="24"/>
                <w:vertAlign w:val="superscript"/>
              </w:rPr>
            </w:pPr>
            <w:r w:rsidRPr="004D1966">
              <w:rPr>
                <w:rFonts w:asciiTheme="majorEastAsia" w:eastAsiaTheme="majorEastAsia" w:hAnsiTheme="majorEastAsia" w:cs="Google Sans"/>
                <w:color w:val="1F1F1F"/>
              </w:rPr>
              <w:t xml:space="preserve">걸음 수, 기초 수면 패턴 추적, 기업 웰니스 챌린지 및 참여형 게이미피케이션 </w:t>
            </w:r>
            <w:r w:rsidRPr="004D1966">
              <w:rPr>
                <w:rFonts w:asciiTheme="majorEastAsia" w:eastAsiaTheme="majorEastAsia" w:hAnsiTheme="majorEastAsia" w:cs="Google Sans"/>
                <w:color w:val="444746"/>
                <w:sz w:val="24"/>
                <w:szCs w:val="24"/>
                <w:vertAlign w:val="superscript"/>
              </w:rPr>
              <w:t>4</w:t>
            </w:r>
          </w:p>
        </w:tc>
      </w:tr>
      <w:tr w:rsidR="009B5916" w:rsidRPr="004D1966" w14:paraId="14381EAF" w14:textId="77777777">
        <w:tc>
          <w:tcPr>
            <w:tcW w:w="312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10A3AE6C" w14:textId="77777777" w:rsidR="009B5916" w:rsidRPr="004D1966" w:rsidRDefault="00000000">
            <w:pPr>
              <w:pBdr>
                <w:top w:val="nil"/>
                <w:left w:val="nil"/>
                <w:bottom w:val="nil"/>
                <w:right w:val="nil"/>
                <w:between w:val="nil"/>
              </w:pBdr>
              <w:spacing w:before="120" w:after="120" w:line="275" w:lineRule="auto"/>
              <w:rPr>
                <w:rFonts w:asciiTheme="majorEastAsia" w:eastAsiaTheme="majorEastAsia" w:hAnsiTheme="majorEastAsia" w:cs="Google Sans"/>
                <w:b/>
                <w:bCs/>
                <w:color w:val="1F1F1F"/>
              </w:rPr>
            </w:pPr>
            <w:r w:rsidRPr="004D1966">
              <w:rPr>
                <w:rFonts w:asciiTheme="majorEastAsia" w:eastAsiaTheme="majorEastAsia" w:hAnsiTheme="majorEastAsia" w:cs="Google Sans"/>
                <w:b/>
                <w:bCs/>
                <w:color w:val="1F1F1F"/>
              </w:rPr>
              <w:t>임상 등급 (Clinical-grade)</w:t>
            </w:r>
          </w:p>
        </w:tc>
        <w:tc>
          <w:tcPr>
            <w:tcW w:w="312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726725E5" w14:textId="77777777" w:rsidR="009B5916" w:rsidRPr="004D1966" w:rsidRDefault="00000000">
            <w:pPr>
              <w:pBdr>
                <w:top w:val="nil"/>
                <w:left w:val="nil"/>
                <w:bottom w:val="nil"/>
                <w:right w:val="nil"/>
                <w:between w:val="nil"/>
              </w:pBdr>
              <w:spacing w:line="275" w:lineRule="auto"/>
              <w:rPr>
                <w:rFonts w:asciiTheme="majorEastAsia" w:eastAsiaTheme="majorEastAsia" w:hAnsiTheme="majorEastAsia" w:cs="Google Sans"/>
                <w:color w:val="444746"/>
                <w:sz w:val="24"/>
                <w:szCs w:val="24"/>
                <w:vertAlign w:val="superscript"/>
              </w:rPr>
            </w:pPr>
            <w:r w:rsidRPr="004D1966">
              <w:rPr>
                <w:rFonts w:asciiTheme="majorEastAsia" w:eastAsiaTheme="majorEastAsia" w:hAnsiTheme="majorEastAsia" w:cs="Google Sans"/>
                <w:color w:val="1F1F1F"/>
              </w:rPr>
              <w:t xml:space="preserve">생체 신호 스마트 패치 (VitalPatch 등) </w:t>
            </w:r>
            <w:r w:rsidRPr="004D1966">
              <w:rPr>
                <w:rFonts w:asciiTheme="majorEastAsia" w:eastAsiaTheme="majorEastAsia" w:hAnsiTheme="majorEastAsia" w:cs="Google Sans"/>
                <w:color w:val="444746"/>
                <w:sz w:val="24"/>
                <w:szCs w:val="24"/>
                <w:vertAlign w:val="superscript"/>
              </w:rPr>
              <w:t>4</w:t>
            </w:r>
          </w:p>
        </w:tc>
        <w:tc>
          <w:tcPr>
            <w:tcW w:w="312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7A25B906" w14:textId="77777777" w:rsidR="009B5916" w:rsidRPr="004D1966" w:rsidRDefault="00000000">
            <w:pPr>
              <w:pBdr>
                <w:top w:val="nil"/>
                <w:left w:val="nil"/>
                <w:bottom w:val="nil"/>
                <w:right w:val="nil"/>
                <w:between w:val="nil"/>
              </w:pBdr>
              <w:spacing w:line="275" w:lineRule="auto"/>
              <w:rPr>
                <w:rFonts w:asciiTheme="majorEastAsia" w:eastAsiaTheme="majorEastAsia" w:hAnsiTheme="majorEastAsia" w:cs="Google Sans"/>
                <w:color w:val="444746"/>
                <w:sz w:val="24"/>
                <w:szCs w:val="24"/>
                <w:vertAlign w:val="superscript"/>
              </w:rPr>
            </w:pPr>
            <w:r w:rsidRPr="004D1966">
              <w:rPr>
                <w:rFonts w:asciiTheme="majorEastAsia" w:eastAsiaTheme="majorEastAsia" w:hAnsiTheme="majorEastAsia" w:cs="Google Sans"/>
                <w:color w:val="1F1F1F"/>
              </w:rPr>
              <w:t xml:space="preserve">가상 병동 내 패혈증 감지, 체온/ECG/심박변이도 연속 측정 및 급성 질환 악화 조기 경보 </w:t>
            </w:r>
            <w:r w:rsidRPr="004D1966">
              <w:rPr>
                <w:rFonts w:asciiTheme="majorEastAsia" w:eastAsiaTheme="majorEastAsia" w:hAnsiTheme="majorEastAsia" w:cs="Google Sans"/>
                <w:color w:val="444746"/>
                <w:sz w:val="24"/>
                <w:szCs w:val="24"/>
                <w:vertAlign w:val="superscript"/>
              </w:rPr>
              <w:t>31</w:t>
            </w:r>
          </w:p>
        </w:tc>
      </w:tr>
      <w:tr w:rsidR="009B5916" w:rsidRPr="004D1966" w14:paraId="29586C39" w14:textId="77777777">
        <w:tc>
          <w:tcPr>
            <w:tcW w:w="312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47FDCAA8" w14:textId="77777777" w:rsidR="009B5916" w:rsidRPr="004D1966" w:rsidRDefault="009B5916">
            <w:pPr>
              <w:pBdr>
                <w:top w:val="nil"/>
                <w:left w:val="nil"/>
                <w:bottom w:val="nil"/>
                <w:right w:val="nil"/>
                <w:between w:val="nil"/>
              </w:pBdr>
              <w:spacing w:line="276" w:lineRule="auto"/>
              <w:rPr>
                <w:rFonts w:asciiTheme="majorEastAsia" w:eastAsiaTheme="majorEastAsia" w:hAnsiTheme="majorEastAsia" w:cs="Google Sans"/>
                <w:color w:val="444746"/>
                <w:sz w:val="24"/>
                <w:szCs w:val="24"/>
                <w:vertAlign w:val="superscript"/>
              </w:rPr>
            </w:pPr>
          </w:p>
        </w:tc>
        <w:tc>
          <w:tcPr>
            <w:tcW w:w="312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6E5479E0" w14:textId="77777777" w:rsidR="009B5916" w:rsidRPr="004D1966" w:rsidRDefault="00000000">
            <w:pPr>
              <w:pBdr>
                <w:top w:val="nil"/>
                <w:left w:val="nil"/>
                <w:bottom w:val="nil"/>
                <w:right w:val="nil"/>
                <w:between w:val="nil"/>
              </w:pBdr>
              <w:spacing w:line="275" w:lineRule="auto"/>
              <w:rPr>
                <w:rFonts w:asciiTheme="majorEastAsia" w:eastAsiaTheme="majorEastAsia" w:hAnsiTheme="majorEastAsia" w:cs="Google Sans"/>
                <w:color w:val="444746"/>
                <w:sz w:val="24"/>
                <w:szCs w:val="24"/>
                <w:vertAlign w:val="superscript"/>
              </w:rPr>
            </w:pPr>
            <w:r w:rsidRPr="004D1966">
              <w:rPr>
                <w:rFonts w:asciiTheme="majorEastAsia" w:eastAsiaTheme="majorEastAsia" w:hAnsiTheme="majorEastAsia" w:cs="Google Sans"/>
                <w:color w:val="1F1F1F"/>
              </w:rPr>
              <w:t xml:space="preserve">연속 혈당 측정기 (CGMs) </w:t>
            </w:r>
            <w:r w:rsidRPr="004D1966">
              <w:rPr>
                <w:rFonts w:asciiTheme="majorEastAsia" w:eastAsiaTheme="majorEastAsia" w:hAnsiTheme="majorEastAsia" w:cs="Google Sans"/>
                <w:color w:val="444746"/>
                <w:sz w:val="24"/>
                <w:szCs w:val="24"/>
                <w:vertAlign w:val="superscript"/>
              </w:rPr>
              <w:t>4</w:t>
            </w:r>
          </w:p>
        </w:tc>
        <w:tc>
          <w:tcPr>
            <w:tcW w:w="312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39D48754" w14:textId="77777777" w:rsidR="009B5916" w:rsidRPr="004D1966" w:rsidRDefault="00000000">
            <w:pPr>
              <w:pBdr>
                <w:top w:val="nil"/>
                <w:left w:val="nil"/>
                <w:bottom w:val="nil"/>
                <w:right w:val="nil"/>
                <w:between w:val="nil"/>
              </w:pBdr>
              <w:spacing w:line="275" w:lineRule="auto"/>
              <w:rPr>
                <w:rFonts w:asciiTheme="majorEastAsia" w:eastAsiaTheme="majorEastAsia" w:hAnsiTheme="majorEastAsia" w:cs="Google Sans"/>
                <w:color w:val="444746"/>
                <w:sz w:val="24"/>
                <w:szCs w:val="24"/>
                <w:vertAlign w:val="superscript"/>
              </w:rPr>
            </w:pPr>
            <w:r w:rsidRPr="004D1966">
              <w:rPr>
                <w:rFonts w:asciiTheme="majorEastAsia" w:eastAsiaTheme="majorEastAsia" w:hAnsiTheme="majorEastAsia" w:cs="Google Sans"/>
                <w:color w:val="1F1F1F"/>
              </w:rPr>
              <w:t xml:space="preserve">당뇨 및 비만 직원의 대사 상태 실시간 추적, 글루카곤 유사 펩타이드(GLP-1) 투여 후 식습관 교정 모니터링 </w:t>
            </w:r>
            <w:r w:rsidRPr="004D1966">
              <w:rPr>
                <w:rFonts w:asciiTheme="majorEastAsia" w:eastAsiaTheme="majorEastAsia" w:hAnsiTheme="majorEastAsia" w:cs="Google Sans"/>
                <w:color w:val="444746"/>
                <w:sz w:val="24"/>
                <w:szCs w:val="24"/>
                <w:vertAlign w:val="superscript"/>
              </w:rPr>
              <w:t>25</w:t>
            </w:r>
          </w:p>
        </w:tc>
      </w:tr>
      <w:tr w:rsidR="009B5916" w:rsidRPr="004D1966" w14:paraId="6128B09A" w14:textId="77777777">
        <w:tc>
          <w:tcPr>
            <w:tcW w:w="312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403C7DDB" w14:textId="77777777" w:rsidR="009B5916" w:rsidRPr="004D1966" w:rsidRDefault="009B5916">
            <w:pPr>
              <w:pBdr>
                <w:top w:val="nil"/>
                <w:left w:val="nil"/>
                <w:bottom w:val="nil"/>
                <w:right w:val="nil"/>
                <w:between w:val="nil"/>
              </w:pBdr>
              <w:spacing w:line="276" w:lineRule="auto"/>
              <w:rPr>
                <w:rFonts w:asciiTheme="majorEastAsia" w:eastAsiaTheme="majorEastAsia" w:hAnsiTheme="majorEastAsia" w:cs="Google Sans"/>
                <w:color w:val="444746"/>
                <w:sz w:val="24"/>
                <w:szCs w:val="24"/>
                <w:vertAlign w:val="superscript"/>
              </w:rPr>
            </w:pPr>
          </w:p>
        </w:tc>
        <w:tc>
          <w:tcPr>
            <w:tcW w:w="312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6BB50868" w14:textId="77777777" w:rsidR="009B5916" w:rsidRPr="004D1966" w:rsidRDefault="00000000">
            <w:pPr>
              <w:pBdr>
                <w:top w:val="nil"/>
                <w:left w:val="nil"/>
                <w:bottom w:val="nil"/>
                <w:right w:val="nil"/>
                <w:between w:val="nil"/>
              </w:pBdr>
              <w:spacing w:line="275" w:lineRule="auto"/>
              <w:rPr>
                <w:rFonts w:asciiTheme="majorEastAsia" w:eastAsiaTheme="majorEastAsia" w:hAnsiTheme="majorEastAsia" w:cs="Google Sans"/>
                <w:color w:val="444746"/>
                <w:sz w:val="24"/>
                <w:szCs w:val="24"/>
                <w:vertAlign w:val="superscript"/>
              </w:rPr>
            </w:pPr>
            <w:r w:rsidRPr="004D1966">
              <w:rPr>
                <w:rFonts w:asciiTheme="majorEastAsia" w:eastAsiaTheme="majorEastAsia" w:hAnsiTheme="majorEastAsia" w:cs="Google Sans"/>
                <w:color w:val="1F1F1F"/>
              </w:rPr>
              <w:t xml:space="preserve">정밀 동적 움직임 센서 (IMUs, dorsaVi) </w:t>
            </w:r>
            <w:r w:rsidRPr="004D1966">
              <w:rPr>
                <w:rFonts w:asciiTheme="majorEastAsia" w:eastAsiaTheme="majorEastAsia" w:hAnsiTheme="majorEastAsia" w:cs="Google Sans"/>
                <w:color w:val="444746"/>
                <w:sz w:val="24"/>
                <w:szCs w:val="24"/>
                <w:vertAlign w:val="superscript"/>
              </w:rPr>
              <w:t>33</w:t>
            </w:r>
          </w:p>
        </w:tc>
        <w:tc>
          <w:tcPr>
            <w:tcW w:w="312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1B10736C" w14:textId="77777777" w:rsidR="009B5916" w:rsidRPr="004D1966" w:rsidRDefault="00000000">
            <w:pPr>
              <w:pBdr>
                <w:top w:val="nil"/>
                <w:left w:val="nil"/>
                <w:bottom w:val="nil"/>
                <w:right w:val="nil"/>
                <w:between w:val="nil"/>
              </w:pBdr>
              <w:spacing w:line="275" w:lineRule="auto"/>
              <w:rPr>
                <w:rFonts w:asciiTheme="majorEastAsia" w:eastAsiaTheme="majorEastAsia" w:hAnsiTheme="majorEastAsia" w:cs="Google Sans"/>
                <w:color w:val="444746"/>
                <w:sz w:val="24"/>
                <w:szCs w:val="24"/>
                <w:vertAlign w:val="superscript"/>
              </w:rPr>
            </w:pPr>
            <w:r w:rsidRPr="004D1966">
              <w:rPr>
                <w:rFonts w:asciiTheme="majorEastAsia" w:eastAsiaTheme="majorEastAsia" w:hAnsiTheme="majorEastAsia" w:cs="Google Sans"/>
                <w:color w:val="1F1F1F"/>
              </w:rPr>
              <w:t xml:space="preserve">요추/상지 자세 실시간 분석, 반복 하중 평가, 산업 현장의 인체공학적 위험도 정량 분석 및 피드백 </w:t>
            </w:r>
            <w:r w:rsidRPr="004D1966">
              <w:rPr>
                <w:rFonts w:asciiTheme="majorEastAsia" w:eastAsiaTheme="majorEastAsia" w:hAnsiTheme="majorEastAsia" w:cs="Google Sans"/>
                <w:color w:val="444746"/>
                <w:sz w:val="24"/>
                <w:szCs w:val="24"/>
                <w:vertAlign w:val="superscript"/>
              </w:rPr>
              <w:t>34</w:t>
            </w:r>
          </w:p>
        </w:tc>
      </w:tr>
    </w:tbl>
    <w:p w14:paraId="710BF0E3" w14:textId="77777777" w:rsidR="009B5916" w:rsidRPr="004D1966" w:rsidRDefault="00000000">
      <w:pPr>
        <w:pStyle w:val="2"/>
        <w:spacing w:before="0" w:after="12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6. 기업 보건(Occupational Health)의 패러다임 혁명: 사후 대응에서 AI 예측 안전으로</w:t>
      </w:r>
    </w:p>
    <w:p w14:paraId="722538B6"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NHS의 공공의료 개혁과 기술 발전의 파도는 기업 내 보건 관리 전략(Corporate Health Strategy)을 근본적으로 뒤바꿔놓고 있다. 기존의 안전 보건 프로그램은 산재 보상 청구 건수, 안전보건청(OSHA) 기록 일지, 사고 발생 보고서 등 사고가 이미 일어난 후에야 집계되는 '후행 지표(Lagging indicators)'에 철저히 의존해 왔다.</w:t>
      </w:r>
      <w:r w:rsidRPr="004D1966">
        <w:rPr>
          <w:rFonts w:asciiTheme="majorEastAsia" w:eastAsiaTheme="majorEastAsia" w:hAnsiTheme="majorEastAsia" w:cs="Google Sans"/>
          <w:color w:val="444746"/>
          <w:sz w:val="24"/>
          <w:szCs w:val="24"/>
          <w:vertAlign w:val="superscript"/>
        </w:rPr>
        <w:t>5</w:t>
      </w:r>
      <w:r w:rsidRPr="004D1966">
        <w:rPr>
          <w:rFonts w:asciiTheme="majorEastAsia" w:eastAsiaTheme="majorEastAsia" w:hAnsiTheme="majorEastAsia" w:cs="Google Sans"/>
          <w:color w:val="1F1F1F"/>
        </w:rPr>
        <w:t xml:space="preserve"> 이는 과거를 기록할 뿐, 다가올 위험을 선제적으로 예방하지는 못한다.</w:t>
      </w:r>
    </w:p>
    <w:p w14:paraId="18FD8EE3"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color w:val="444746"/>
          <w:sz w:val="24"/>
          <w:szCs w:val="24"/>
          <w:vertAlign w:val="superscript"/>
        </w:rPr>
      </w:pPr>
      <w:r w:rsidRPr="004D1966">
        <w:rPr>
          <w:rFonts w:asciiTheme="majorEastAsia" w:eastAsiaTheme="majorEastAsia" w:hAnsiTheme="majorEastAsia" w:cs="Google Sans"/>
          <w:color w:val="1F1F1F"/>
        </w:rPr>
        <w:t>그러나 AI와 웨어러블 기기의 융합은 자동차의 자율주행 센서가 충돌 전 운전자에게 경고를 보내듯, 근로자의 신체적·정신적 위험을 실시간으로 감지하고 예측하는 '선행 지표(Leading indicators)' 중심으로 기업 보건의 패러다임을 급격하게 전환시키고 있다.</w:t>
      </w:r>
      <w:r w:rsidRPr="004D1966">
        <w:rPr>
          <w:rFonts w:asciiTheme="majorEastAsia" w:eastAsiaTheme="majorEastAsia" w:hAnsiTheme="majorEastAsia" w:cs="Google Sans"/>
          <w:color w:val="444746"/>
          <w:sz w:val="24"/>
          <w:szCs w:val="24"/>
          <w:vertAlign w:val="superscript"/>
        </w:rPr>
        <w:t>5</w:t>
      </w:r>
    </w:p>
    <w:p w14:paraId="525F5C2D" w14:textId="77777777" w:rsidR="009B5916" w:rsidRPr="004D1966" w:rsidRDefault="00000000">
      <w:pPr>
        <w:pStyle w:val="3"/>
        <w:spacing w:before="0" w:after="12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6.1. 근골격계 질환(WRMSDs) 극복을 위한 디지털 인체공학</w:t>
      </w:r>
    </w:p>
    <w:p w14:paraId="2F600FA7"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color w:val="444746"/>
          <w:sz w:val="24"/>
          <w:szCs w:val="24"/>
          <w:vertAlign w:val="superscript"/>
        </w:rPr>
      </w:pPr>
      <w:r w:rsidRPr="004D1966">
        <w:rPr>
          <w:rFonts w:asciiTheme="majorEastAsia" w:eastAsiaTheme="majorEastAsia" w:hAnsiTheme="majorEastAsia" w:cs="Google Sans"/>
          <w:color w:val="1F1F1F"/>
        </w:rPr>
        <w:t>전 세계적으로 17억 명 이상이 고통받고 있는 근골격계 질환(Work-Related Musculoskeletal Disorders, WRMSDs)은 노동자의 결근과 장애를 유발하는 가장 치명적인 질환이다.</w:t>
      </w:r>
      <w:r w:rsidRPr="004D1966">
        <w:rPr>
          <w:rFonts w:asciiTheme="majorEastAsia" w:eastAsiaTheme="majorEastAsia" w:hAnsiTheme="majorEastAsia" w:cs="Google Sans"/>
          <w:color w:val="444746"/>
          <w:sz w:val="24"/>
          <w:szCs w:val="24"/>
          <w:vertAlign w:val="superscript"/>
        </w:rPr>
        <w:t>39</w:t>
      </w:r>
      <w:r w:rsidRPr="004D1966">
        <w:rPr>
          <w:rFonts w:asciiTheme="majorEastAsia" w:eastAsiaTheme="majorEastAsia" w:hAnsiTheme="majorEastAsia" w:cs="Google Sans"/>
          <w:color w:val="1F1F1F"/>
        </w:rPr>
        <w:t xml:space="preserve"> 영국의 산업안전보건청(HSE) 통계에 따르면 2024/25년 한 해에만 50만 명 이상의 근로자가 업무 관련 근골격계 질환을 경험했으며, 무거운 물건을 들거나 반복적인 동작을 수행하는 물류 창고, 건설 현장 등에서 주로 발생한다.</w:t>
      </w:r>
      <w:r w:rsidRPr="004D1966">
        <w:rPr>
          <w:rFonts w:asciiTheme="majorEastAsia" w:eastAsiaTheme="majorEastAsia" w:hAnsiTheme="majorEastAsia" w:cs="Google Sans"/>
          <w:color w:val="444746"/>
          <w:sz w:val="24"/>
          <w:szCs w:val="24"/>
          <w:vertAlign w:val="superscript"/>
        </w:rPr>
        <w:t>40</w:t>
      </w:r>
    </w:p>
    <w:p w14:paraId="13454353"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color w:val="444746"/>
          <w:sz w:val="24"/>
          <w:szCs w:val="24"/>
          <w:vertAlign w:val="superscript"/>
        </w:rPr>
      </w:pPr>
      <w:r w:rsidRPr="004D1966">
        <w:rPr>
          <w:rFonts w:asciiTheme="majorEastAsia" w:eastAsiaTheme="majorEastAsia" w:hAnsiTheme="majorEastAsia" w:cs="Google Sans"/>
          <w:color w:val="1F1F1F"/>
        </w:rPr>
        <w:t>과거에는 안전 관리자가 육안으로 작업자의 자세를 관찰하여 평가하는 방식에 머물렀지만, 이제는 dorsaVi와 같은 임상 등급 웨어러블 센서와 스마트 외골격(Exoskeleton)이 그 자리를 대체하고 있다.</w:t>
      </w:r>
      <w:r w:rsidRPr="004D1966">
        <w:rPr>
          <w:rFonts w:asciiTheme="majorEastAsia" w:eastAsiaTheme="majorEastAsia" w:hAnsiTheme="majorEastAsia" w:cs="Google Sans"/>
          <w:color w:val="444746"/>
          <w:sz w:val="24"/>
          <w:szCs w:val="24"/>
          <w:vertAlign w:val="superscript"/>
        </w:rPr>
        <w:t>35</w:t>
      </w:r>
      <w:r w:rsidRPr="004D1966">
        <w:rPr>
          <w:rFonts w:asciiTheme="majorEastAsia" w:eastAsiaTheme="majorEastAsia" w:hAnsiTheme="majorEastAsia" w:cs="Google Sans"/>
          <w:color w:val="1F1F1F"/>
        </w:rPr>
        <w:t xml:space="preserve"> 작업자의 허리와 상지에 부착된 딥러닝 기반의 관성 측정 장치(IMUs)와 섬유 광학 센서는 신체의 다축 움직임, 압력, 굽힘 각도를 1초에도 수십 번씩 캡처한다.</w:t>
      </w:r>
      <w:r w:rsidRPr="004D1966">
        <w:rPr>
          <w:rFonts w:asciiTheme="majorEastAsia" w:eastAsiaTheme="majorEastAsia" w:hAnsiTheme="majorEastAsia" w:cs="Google Sans"/>
          <w:color w:val="444746"/>
          <w:sz w:val="24"/>
          <w:szCs w:val="24"/>
          <w:vertAlign w:val="superscript"/>
        </w:rPr>
        <w:t>34</w:t>
      </w:r>
      <w:r w:rsidRPr="004D1966">
        <w:rPr>
          <w:rFonts w:asciiTheme="majorEastAsia" w:eastAsiaTheme="majorEastAsia" w:hAnsiTheme="majorEastAsia" w:cs="Google Sans"/>
          <w:color w:val="1F1F1F"/>
        </w:rPr>
        <w:t xml:space="preserve"> 작업자가 위험한 각도로 무거운 물건을 들어 올리거나 비정상적인 비틀림 하중이 감지되면, 웨어러블 기기는 즉각적으로 햅틱(진동) 알람을 발생시켜 작업자 스스로 자세를 교정하도록 유도한다.</w:t>
      </w:r>
      <w:r w:rsidRPr="004D1966">
        <w:rPr>
          <w:rFonts w:asciiTheme="majorEastAsia" w:eastAsiaTheme="majorEastAsia" w:hAnsiTheme="majorEastAsia" w:cs="Google Sans"/>
          <w:color w:val="444746"/>
          <w:sz w:val="24"/>
          <w:szCs w:val="24"/>
          <w:vertAlign w:val="superscript"/>
        </w:rPr>
        <w:t>37</w:t>
      </w:r>
    </w:p>
    <w:p w14:paraId="63348FD5"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color w:val="444746"/>
          <w:sz w:val="24"/>
          <w:szCs w:val="24"/>
          <w:vertAlign w:val="superscript"/>
        </w:rPr>
      </w:pPr>
      <w:r w:rsidRPr="004D1966">
        <w:rPr>
          <w:rFonts w:asciiTheme="majorEastAsia" w:eastAsiaTheme="majorEastAsia" w:hAnsiTheme="majorEastAsia" w:cs="Google Sans"/>
          <w:color w:val="1F1F1F"/>
        </w:rPr>
        <w:t>수집된 데이터는 중앙의 인체공학 대시보드로 자동 전송되어 안전 전문가가 특정 직무의 위험도를 정량적으로 평가하고 작업 공정 자체를 재설계할 수 있는 객관적 근거를 제공한다.</w:t>
      </w:r>
      <w:r w:rsidRPr="004D1966">
        <w:rPr>
          <w:rFonts w:asciiTheme="majorEastAsia" w:eastAsiaTheme="majorEastAsia" w:hAnsiTheme="majorEastAsia" w:cs="Google Sans"/>
          <w:color w:val="444746"/>
          <w:sz w:val="24"/>
          <w:szCs w:val="24"/>
          <w:vertAlign w:val="superscript"/>
        </w:rPr>
        <w:t>36</w:t>
      </w:r>
      <w:r w:rsidRPr="004D1966">
        <w:rPr>
          <w:rFonts w:asciiTheme="majorEastAsia" w:eastAsiaTheme="majorEastAsia" w:hAnsiTheme="majorEastAsia" w:cs="Google Sans"/>
          <w:color w:val="1F1F1F"/>
        </w:rPr>
        <w:t xml:space="preserve"> 키네틱(Kinetic, Inc.)의 공동 창업자인 헤이삼 엘하와리(Haytham Elhawary)가 인용한 연구 결과에 따르면, 고위험 작업 환경에서 이러한 웨어러블 기술을 도입한 결과 산재 보상 청구 비용이 무려 50%나 급감하는 획기적인 재무적 성과가 입증되었다.</w:t>
      </w:r>
      <w:r w:rsidRPr="004D1966">
        <w:rPr>
          <w:rFonts w:asciiTheme="majorEastAsia" w:eastAsiaTheme="majorEastAsia" w:hAnsiTheme="majorEastAsia" w:cs="Google Sans"/>
          <w:color w:val="444746"/>
          <w:sz w:val="24"/>
          <w:szCs w:val="24"/>
          <w:vertAlign w:val="superscript"/>
        </w:rPr>
        <w:t>5</w:t>
      </w:r>
    </w:p>
    <w:p w14:paraId="727EBF8F" w14:textId="77777777" w:rsidR="009B5916" w:rsidRPr="004D1966" w:rsidRDefault="00000000">
      <w:pPr>
        <w:pStyle w:val="3"/>
        <w:spacing w:before="0" w:after="12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6.2. 생체 신호를 통한 멘탈 번아웃(Burnout) 예측과 정신 건강 모니터링</w:t>
      </w:r>
    </w:p>
    <w:p w14:paraId="0387C158"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color w:val="444746"/>
          <w:sz w:val="24"/>
          <w:szCs w:val="24"/>
          <w:vertAlign w:val="superscript"/>
        </w:rPr>
      </w:pPr>
      <w:r w:rsidRPr="004D1966">
        <w:rPr>
          <w:rFonts w:asciiTheme="majorEastAsia" w:eastAsiaTheme="majorEastAsia" w:hAnsiTheme="majorEastAsia" w:cs="Google Sans"/>
          <w:color w:val="1F1F1F"/>
        </w:rPr>
        <w:t>기업 보건 혁신의 또 다른 축은 장기 결근의 최대 원인인 '정신 건강'을 눈에 보이는 데이터로 관리하는 것이다. 정신 질환은 겉으로 드러나지 않아 조기 발견이 어렵지만, 신체의 자율신경계는 스트레스에 즉각적으로 반응한다.</w:t>
      </w:r>
      <w:r w:rsidRPr="004D1966">
        <w:rPr>
          <w:rFonts w:asciiTheme="majorEastAsia" w:eastAsiaTheme="majorEastAsia" w:hAnsiTheme="majorEastAsia" w:cs="Google Sans"/>
          <w:color w:val="444746"/>
          <w:sz w:val="24"/>
          <w:szCs w:val="24"/>
          <w:vertAlign w:val="superscript"/>
        </w:rPr>
        <w:t>41</w:t>
      </w:r>
    </w:p>
    <w:p w14:paraId="0A111222"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color w:val="444746"/>
          <w:sz w:val="24"/>
          <w:szCs w:val="24"/>
          <w:vertAlign w:val="superscript"/>
        </w:rPr>
      </w:pPr>
      <w:r w:rsidRPr="004D1966">
        <w:rPr>
          <w:rFonts w:asciiTheme="majorEastAsia" w:eastAsiaTheme="majorEastAsia" w:hAnsiTheme="majorEastAsia" w:cs="Google Sans"/>
          <w:color w:val="1F1F1F"/>
        </w:rPr>
        <w:t>최신의 정신 의학 연구들은 스마트폰, 웨어러블 액티그래피 센서, 스마트워치 등에서 수집된 심박 변이도(HRV), 일상 활동량(Steps), 기초 수면 사이클 데이터를 기계 학습(Machine Learning) 알고리즘인 랜덤 포레스트(Random Forest)나 딥러닝(Deep Learning)으로 분석하여 양극성 장애, 주요 우울증, 불안 장애의 증상 발현을 훌륭한 정확도(ROC 곡선 이하 면적 0.85 이상)로 예측하는 데 성공하고 있다.</w:t>
      </w:r>
      <w:r w:rsidRPr="004D1966">
        <w:rPr>
          <w:rFonts w:asciiTheme="majorEastAsia" w:eastAsiaTheme="majorEastAsia" w:hAnsiTheme="majorEastAsia" w:cs="Google Sans"/>
          <w:color w:val="444746"/>
          <w:sz w:val="24"/>
          <w:szCs w:val="24"/>
          <w:vertAlign w:val="superscript"/>
        </w:rPr>
        <w:t>33</w:t>
      </w:r>
    </w:p>
    <w:p w14:paraId="4BF14891"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color w:val="444746"/>
          <w:sz w:val="24"/>
          <w:szCs w:val="24"/>
          <w:vertAlign w:val="superscript"/>
        </w:rPr>
      </w:pPr>
      <w:r w:rsidRPr="004D1966">
        <w:rPr>
          <w:rFonts w:asciiTheme="majorEastAsia" w:eastAsiaTheme="majorEastAsia" w:hAnsiTheme="majorEastAsia" w:cs="Google Sans"/>
          <w:color w:val="1F1F1F"/>
        </w:rPr>
        <w:t>기업은 이러한 데이터 기반 통찰을 활용하여 부서별 스트레스 수준의 열화상 지도를 작성하고 번아웃 발생을 조기에 예측할 수 있다.</w:t>
      </w:r>
      <w:r w:rsidRPr="004D1966">
        <w:rPr>
          <w:rFonts w:asciiTheme="majorEastAsia" w:eastAsiaTheme="majorEastAsia" w:hAnsiTheme="majorEastAsia" w:cs="Google Sans"/>
          <w:color w:val="444746"/>
          <w:sz w:val="24"/>
          <w:szCs w:val="24"/>
          <w:vertAlign w:val="superscript"/>
        </w:rPr>
        <w:t>43</w:t>
      </w:r>
      <w:r w:rsidRPr="004D1966">
        <w:rPr>
          <w:rFonts w:asciiTheme="majorEastAsia" w:eastAsiaTheme="majorEastAsia" w:hAnsiTheme="majorEastAsia" w:cs="Google Sans"/>
          <w:color w:val="1F1F1F"/>
        </w:rPr>
        <w:t xml:space="preserve"> 스트레스 수치가 급증한 것으로 파악된 근로자에게는 AI 챗봇이 먼저 다가가 마음챙김(Mindfulness) 호흡 훈련 앱을 추천하거나, 회사가 비용을 지불하는 전문 심리 상담(EAP) 세션을 제안함으로써 치명적인 정신적 붕괴를 사전에 차단한다.</w:t>
      </w:r>
      <w:r w:rsidRPr="004D1966">
        <w:rPr>
          <w:rFonts w:asciiTheme="majorEastAsia" w:eastAsiaTheme="majorEastAsia" w:hAnsiTheme="majorEastAsia" w:cs="Google Sans"/>
          <w:color w:val="444746"/>
          <w:sz w:val="24"/>
          <w:szCs w:val="24"/>
          <w:vertAlign w:val="superscript"/>
        </w:rPr>
        <w:t>28</w:t>
      </w:r>
      <w:r w:rsidRPr="004D1966">
        <w:rPr>
          <w:rFonts w:asciiTheme="majorEastAsia" w:eastAsiaTheme="majorEastAsia" w:hAnsiTheme="majorEastAsia" w:cs="Google Sans"/>
          <w:color w:val="1F1F1F"/>
        </w:rPr>
        <w:t xml:space="preserve"> 의학 인터넷 연구 저널(Journal of Medical Internet Research)에 발표된 논문에 따르면, 기업이 생체 인식 웨어러블을 직원 조직 보건 프로그램에 전략적으로 통합한 결과 조직 내 전반적인 건강 위험 지수(Health risks)가 24%나 감소하는 극적인 개선 효과가 나타났다.</w:t>
      </w:r>
      <w:r w:rsidRPr="004D1966">
        <w:rPr>
          <w:rFonts w:asciiTheme="majorEastAsia" w:eastAsiaTheme="majorEastAsia" w:hAnsiTheme="majorEastAsia" w:cs="Google Sans"/>
          <w:color w:val="444746"/>
          <w:sz w:val="24"/>
          <w:szCs w:val="24"/>
          <w:vertAlign w:val="superscript"/>
        </w:rPr>
        <w:t>45</w:t>
      </w:r>
    </w:p>
    <w:p w14:paraId="0279AE95" w14:textId="77777777" w:rsidR="009B5916" w:rsidRPr="004D1966" w:rsidRDefault="00000000">
      <w:pPr>
        <w:pStyle w:val="3"/>
        <w:spacing w:before="0" w:after="12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6.3. 행동 변화를 이끄는 게이미피케이션(Gamification)과 긍정적 조직 문화</w:t>
      </w:r>
    </w:p>
    <w:p w14:paraId="112B3DAF"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color w:val="444746"/>
          <w:sz w:val="24"/>
          <w:szCs w:val="24"/>
          <w:vertAlign w:val="superscript"/>
        </w:rPr>
      </w:pPr>
      <w:r w:rsidRPr="004D1966">
        <w:rPr>
          <w:rFonts w:asciiTheme="majorEastAsia" w:eastAsiaTheme="majorEastAsia" w:hAnsiTheme="majorEastAsia" w:cs="Google Sans"/>
          <w:color w:val="1F1F1F"/>
        </w:rPr>
        <w:t>웨어러블 기기가 보건 감시의 도구가 아닌 자발적 웰니스 도구로 작동하기 위해서는 행동 심리학적 접근이 필수적이다. 기업들은 동료 간의 걸음 수 경쟁, 개인별 맞춤형 수면 개선 목표, 명상 미션 등 '게이미피케이션(Gamification)' 요소를 적극적으로 도입하고 있다.</w:t>
      </w:r>
      <w:r w:rsidRPr="004D1966">
        <w:rPr>
          <w:rFonts w:asciiTheme="majorEastAsia" w:eastAsiaTheme="majorEastAsia" w:hAnsiTheme="majorEastAsia" w:cs="Google Sans"/>
          <w:color w:val="444746"/>
          <w:sz w:val="24"/>
          <w:szCs w:val="24"/>
          <w:vertAlign w:val="superscript"/>
        </w:rPr>
        <w:t>28</w:t>
      </w:r>
      <w:r w:rsidRPr="004D1966">
        <w:rPr>
          <w:rFonts w:asciiTheme="majorEastAsia" w:eastAsiaTheme="majorEastAsia" w:hAnsiTheme="majorEastAsia" w:cs="Google Sans"/>
          <w:color w:val="1F1F1F"/>
        </w:rPr>
        <w:t xml:space="preserve"> 목표 달성 진행률을 시각화하고 디지털 배지나 경제적 인센티브(건강 보험료 할인, 보너스 등)를 제공함으로써 직원들의 건강 관리 동기를 자극한다.</w:t>
      </w:r>
      <w:r w:rsidRPr="004D1966">
        <w:rPr>
          <w:rFonts w:asciiTheme="majorEastAsia" w:eastAsiaTheme="majorEastAsia" w:hAnsiTheme="majorEastAsia" w:cs="Google Sans"/>
          <w:color w:val="444746"/>
          <w:sz w:val="24"/>
          <w:szCs w:val="24"/>
          <w:vertAlign w:val="superscript"/>
        </w:rPr>
        <w:t>44</w:t>
      </w:r>
      <w:r w:rsidRPr="004D1966">
        <w:rPr>
          <w:rFonts w:asciiTheme="majorEastAsia" w:eastAsiaTheme="majorEastAsia" w:hAnsiTheme="majorEastAsia" w:cs="Google Sans"/>
          <w:color w:val="1F1F1F"/>
        </w:rPr>
        <w:t xml:space="preserve"> 동일한 연구에 따르면, 이러한 게이미피케이션이 적용된 디지털 건강 중재 프로그램은 단순히 단기적인 흥미를 끄는 데 그치지 않고, 건강 증진 프로그램 참여율을 무려 67%나 폭발적으로 증가시키며 지속 가능한 라이프스타일의 변화를 이끌어냈다.</w:t>
      </w:r>
      <w:r w:rsidRPr="004D1966">
        <w:rPr>
          <w:rFonts w:asciiTheme="majorEastAsia" w:eastAsiaTheme="majorEastAsia" w:hAnsiTheme="majorEastAsia" w:cs="Google Sans"/>
          <w:color w:val="444746"/>
          <w:sz w:val="24"/>
          <w:szCs w:val="24"/>
          <w:vertAlign w:val="superscript"/>
        </w:rPr>
        <w:t>45</w:t>
      </w:r>
      <w:r w:rsidRPr="004D1966">
        <w:rPr>
          <w:rFonts w:asciiTheme="majorEastAsia" w:eastAsiaTheme="majorEastAsia" w:hAnsiTheme="majorEastAsia" w:cs="Google Sans"/>
          <w:color w:val="1F1F1F"/>
        </w:rPr>
        <w:t xml:space="preserve"> 이는 건강한 직원이 곧 생산적인 직원이 되며, 기업의 문화 자체가 치유와 성장의 플랫폼으로 거듭나는 윈윈(Win-win) 생태계의 구축을 의미한다.</w:t>
      </w:r>
      <w:r w:rsidRPr="004D1966">
        <w:rPr>
          <w:rFonts w:asciiTheme="majorEastAsia" w:eastAsiaTheme="majorEastAsia" w:hAnsiTheme="majorEastAsia" w:cs="Google Sans"/>
          <w:color w:val="444746"/>
          <w:sz w:val="24"/>
          <w:szCs w:val="24"/>
          <w:vertAlign w:val="superscript"/>
        </w:rPr>
        <w:t>28</w:t>
      </w:r>
    </w:p>
    <w:p w14:paraId="42EA14DB" w14:textId="77777777" w:rsidR="009B5916" w:rsidRPr="004D1966" w:rsidRDefault="00000000">
      <w:pPr>
        <w:pStyle w:val="2"/>
        <w:spacing w:before="0" w:after="12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7. 지속 가능한 기업 보건 생태계 구축을 위한 정책적·제도적 제언</w:t>
      </w:r>
    </w:p>
    <w:p w14:paraId="292EDB78"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웨어러블 혁신과 선제적 데이터 분석이 개별 기업의 훌륭한 시도를 넘어 국가적 경제활동 비활동성 위기를 근본적으로 해결하는 메커니즘으로 자리 잡기 위해서는, 정부 차원의 대대적인 세제 지원과 규제 철폐, 그리고 NHS 인프라와의 시스템적 통합이 절실하다.</w:t>
      </w:r>
    </w:p>
    <w:p w14:paraId="05A65022" w14:textId="77777777" w:rsidR="009B5916" w:rsidRPr="004D1966" w:rsidRDefault="00000000">
      <w:pPr>
        <w:pStyle w:val="3"/>
        <w:spacing w:before="0" w:after="12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7.1. 기업의 선행 투자를 이끄는 과감한 조세 및 재정 지원</w:t>
      </w:r>
    </w:p>
    <w:p w14:paraId="585CCB0B"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color w:val="444746"/>
          <w:sz w:val="24"/>
          <w:szCs w:val="24"/>
          <w:vertAlign w:val="superscript"/>
        </w:rPr>
      </w:pPr>
      <w:r w:rsidRPr="004D1966">
        <w:rPr>
          <w:rFonts w:asciiTheme="majorEastAsia" w:eastAsiaTheme="majorEastAsia" w:hAnsiTheme="majorEastAsia" w:cs="Google Sans"/>
          <w:color w:val="1F1F1F"/>
        </w:rPr>
        <w:t>영국 상공회의소(BCC)의 설문조사에 따르면, 계속되는 NHS의 위기로 인해 직원들의 GP 진료나 물리치료 접근성이 크게 떨어지면서 무려 73%의 기업이 과거보다 직원의 건강에 대해 더 무거운 책임감을 느끼고 있다고 응답했다.</w:t>
      </w:r>
      <w:r w:rsidRPr="004D1966">
        <w:rPr>
          <w:rFonts w:asciiTheme="majorEastAsia" w:eastAsiaTheme="majorEastAsia" w:hAnsiTheme="majorEastAsia" w:cs="Google Sans"/>
          <w:color w:val="444746"/>
          <w:sz w:val="24"/>
          <w:szCs w:val="24"/>
          <w:vertAlign w:val="superscript"/>
        </w:rPr>
        <w:t>6</w:t>
      </w:r>
      <w:r w:rsidRPr="004D1966">
        <w:rPr>
          <w:rFonts w:asciiTheme="majorEastAsia" w:eastAsiaTheme="majorEastAsia" w:hAnsiTheme="majorEastAsia" w:cs="Google Sans"/>
          <w:color w:val="1F1F1F"/>
        </w:rPr>
        <w:t xml:space="preserve"> 그러나 2025년 기준 실제로 직원들에게 의료 보험이나 전문적인 직업 건강(Occupational Health) 서비스를 제공하는 기업은 단 30%에 불과하며, 35%의 중소기업은 아예 직원의 병가 관리를 위한 기본적인 사내 정책조차 갖추지 못하고 있다.</w:t>
      </w:r>
      <w:r w:rsidRPr="004D1966">
        <w:rPr>
          <w:rFonts w:asciiTheme="majorEastAsia" w:eastAsiaTheme="majorEastAsia" w:hAnsiTheme="majorEastAsia" w:cs="Google Sans"/>
          <w:color w:val="444746"/>
          <w:sz w:val="24"/>
          <w:szCs w:val="24"/>
          <w:vertAlign w:val="superscript"/>
        </w:rPr>
        <w:t>6</w:t>
      </w:r>
      <w:r w:rsidRPr="004D1966">
        <w:rPr>
          <w:rFonts w:asciiTheme="majorEastAsia" w:eastAsiaTheme="majorEastAsia" w:hAnsiTheme="majorEastAsia" w:cs="Google Sans"/>
          <w:color w:val="1F1F1F"/>
        </w:rPr>
        <w:t xml:space="preserve"> 이는 기업이 직원의 건강을 외면해서가 아니라, 중소기업의 열악한 자원과 투자 의지를 꺾는 불합리한 조세 제도 때문이다.</w:t>
      </w:r>
      <w:r w:rsidRPr="004D1966">
        <w:rPr>
          <w:rFonts w:asciiTheme="majorEastAsia" w:eastAsiaTheme="majorEastAsia" w:hAnsiTheme="majorEastAsia" w:cs="Google Sans"/>
          <w:color w:val="444746"/>
          <w:sz w:val="24"/>
          <w:szCs w:val="24"/>
          <w:vertAlign w:val="superscript"/>
        </w:rPr>
        <w:t>6</w:t>
      </w:r>
    </w:p>
    <w:p w14:paraId="7AE642A7" w14:textId="77777777" w:rsidR="009B5916" w:rsidRPr="004D1966" w:rsidRDefault="00000000">
      <w:pPr>
        <w:pBdr>
          <w:top w:val="nil"/>
          <w:left w:val="nil"/>
          <w:bottom w:val="nil"/>
          <w:right w:val="nil"/>
          <w:between w:val="nil"/>
        </w:pBdr>
        <w:spacing w:after="120" w:line="275" w:lineRule="auto"/>
        <w:rPr>
          <w:rFonts w:asciiTheme="majorEastAsia" w:eastAsiaTheme="majorEastAsia" w:hAnsiTheme="majorEastAsia" w:cs="Google Sans"/>
          <w:color w:val="444746"/>
          <w:sz w:val="24"/>
          <w:szCs w:val="24"/>
          <w:vertAlign w:val="superscript"/>
        </w:rPr>
      </w:pPr>
      <w:r w:rsidRPr="004D1966">
        <w:rPr>
          <w:rFonts w:asciiTheme="majorEastAsia" w:eastAsiaTheme="majorEastAsia" w:hAnsiTheme="majorEastAsia" w:cs="Google Sans"/>
          <w:color w:val="1F1F1F"/>
        </w:rPr>
        <w:t>BCC의 "Making Health Work" 보고서는 이를 타개하기 위해 16가지의 강력한 공동 행동 조치(16 recommendations)를 정부에 촉구했다.</w:t>
      </w:r>
      <w:r w:rsidRPr="004D1966">
        <w:rPr>
          <w:rFonts w:asciiTheme="majorEastAsia" w:eastAsiaTheme="majorEastAsia" w:hAnsiTheme="majorEastAsia" w:cs="Google Sans"/>
          <w:color w:val="444746"/>
          <w:sz w:val="24"/>
          <w:szCs w:val="24"/>
          <w:vertAlign w:val="superscript"/>
        </w:rPr>
        <w:t>6</w:t>
      </w:r>
    </w:p>
    <w:p w14:paraId="6E9802D1" w14:textId="77777777" w:rsidR="009B5916" w:rsidRPr="004D1966" w:rsidRDefault="00000000">
      <w:pPr>
        <w:numPr>
          <w:ilvl w:val="0"/>
          <w:numId w:val="2"/>
        </w:numPr>
        <w:pBdr>
          <w:top w:val="nil"/>
          <w:left w:val="nil"/>
          <w:bottom w:val="nil"/>
          <w:right w:val="nil"/>
          <w:between w:val="nil"/>
        </w:pBdr>
        <w:spacing w:line="275" w:lineRule="auto"/>
        <w:rPr>
          <w:rFonts w:asciiTheme="majorEastAsia" w:eastAsiaTheme="majorEastAsia" w:hAnsiTheme="majorEastAsia"/>
        </w:rPr>
      </w:pPr>
      <w:r w:rsidRPr="004D1966">
        <w:rPr>
          <w:rFonts w:asciiTheme="majorEastAsia" w:eastAsiaTheme="majorEastAsia" w:hAnsiTheme="majorEastAsia" w:cs="Google Sans"/>
          <w:b/>
          <w:bCs/>
          <w:color w:val="1F1F1F"/>
        </w:rPr>
        <w:t>세제 혜택 및 현물 급여 면제:</w:t>
      </w:r>
      <w:r w:rsidRPr="004D1966">
        <w:rPr>
          <w:rFonts w:asciiTheme="majorEastAsia" w:eastAsiaTheme="majorEastAsia" w:hAnsiTheme="majorEastAsia" w:cs="Google Sans"/>
          <w:color w:val="1F1F1F"/>
        </w:rPr>
        <w:t xml:space="preserve"> 기업이 직원의 웰빙을 위해 지불하는 체육관 멤버십, 건강 진단 비용, 웨어러블 기기 구입 비용에 부과되는 보험 프리미엄 세금(IPT) 수준을 재검토해야 한다. 특히 직원이 기업으로부터 건강 지원을 받을 때 부과되는 현물 급여(Benefit in Kind) 세금을 전면 면제하여 건강 투자에 대한 재무적 패널티를 없애야 한다.</w:t>
      </w:r>
      <w:r w:rsidRPr="004D1966">
        <w:rPr>
          <w:rFonts w:asciiTheme="majorEastAsia" w:eastAsiaTheme="majorEastAsia" w:hAnsiTheme="majorEastAsia" w:cs="Google Sans"/>
          <w:color w:val="444746"/>
          <w:sz w:val="24"/>
          <w:szCs w:val="24"/>
          <w:vertAlign w:val="superscript"/>
        </w:rPr>
        <w:t>6</w:t>
      </w:r>
    </w:p>
    <w:p w14:paraId="58B0F965" w14:textId="77777777" w:rsidR="009B5916" w:rsidRPr="004D1966" w:rsidRDefault="00000000">
      <w:pPr>
        <w:numPr>
          <w:ilvl w:val="0"/>
          <w:numId w:val="2"/>
        </w:numPr>
        <w:pBdr>
          <w:top w:val="nil"/>
          <w:left w:val="nil"/>
          <w:bottom w:val="nil"/>
          <w:right w:val="nil"/>
          <w:between w:val="nil"/>
        </w:pBdr>
        <w:spacing w:line="275" w:lineRule="auto"/>
        <w:rPr>
          <w:rFonts w:asciiTheme="majorEastAsia" w:eastAsiaTheme="majorEastAsia" w:hAnsiTheme="majorEastAsia"/>
        </w:rPr>
      </w:pPr>
      <w:r w:rsidRPr="004D1966">
        <w:rPr>
          <w:rFonts w:asciiTheme="majorEastAsia" w:eastAsiaTheme="majorEastAsia" w:hAnsiTheme="majorEastAsia" w:cs="Google Sans"/>
          <w:b/>
          <w:bCs/>
          <w:color w:val="1F1F1F"/>
        </w:rPr>
        <w:t>중소기업 맞춤형 보건 인프라 확충:</w:t>
      </w:r>
      <w:r w:rsidRPr="004D1966">
        <w:rPr>
          <w:rFonts w:asciiTheme="majorEastAsia" w:eastAsiaTheme="majorEastAsia" w:hAnsiTheme="majorEastAsia" w:cs="Google Sans"/>
          <w:color w:val="1F1F1F"/>
        </w:rPr>
        <w:t xml:space="preserve"> 중소기업도 대기업 수준의 보건 서비스를 누릴 수 있도록 정부가 주도하는 '건강한 직장 표준(Health at Work Standard)'을 도입하고, 중소기업 공동 구매 협약이나 사용한 만큼 지불하는 종량제(Pay-as-you-go) 형태의 직업 건강 서비스를 확산시켜야 한다.</w:t>
      </w:r>
      <w:r w:rsidRPr="004D1966">
        <w:rPr>
          <w:rFonts w:asciiTheme="majorEastAsia" w:eastAsiaTheme="majorEastAsia" w:hAnsiTheme="majorEastAsia" w:cs="Google Sans"/>
          <w:color w:val="444746"/>
          <w:sz w:val="24"/>
          <w:szCs w:val="24"/>
          <w:vertAlign w:val="superscript"/>
        </w:rPr>
        <w:t>6</w:t>
      </w:r>
    </w:p>
    <w:p w14:paraId="185C8012" w14:textId="77777777" w:rsidR="009B5916" w:rsidRPr="004D1966" w:rsidRDefault="00000000">
      <w:pPr>
        <w:numPr>
          <w:ilvl w:val="0"/>
          <w:numId w:val="2"/>
        </w:numPr>
        <w:pBdr>
          <w:top w:val="nil"/>
          <w:left w:val="nil"/>
          <w:bottom w:val="nil"/>
          <w:right w:val="nil"/>
          <w:between w:val="nil"/>
        </w:pBdr>
        <w:spacing w:line="275" w:lineRule="auto"/>
        <w:rPr>
          <w:rFonts w:asciiTheme="majorEastAsia" w:eastAsiaTheme="majorEastAsia" w:hAnsiTheme="majorEastAsia"/>
        </w:rPr>
      </w:pPr>
      <w:r w:rsidRPr="004D1966">
        <w:rPr>
          <w:rFonts w:asciiTheme="majorEastAsia" w:eastAsiaTheme="majorEastAsia" w:hAnsiTheme="majorEastAsia" w:cs="Google Sans"/>
          <w:b/>
          <w:bCs/>
          <w:color w:val="1F1F1F"/>
        </w:rPr>
        <w:t>청년층 고용 보조금 도입:</w:t>
      </w:r>
      <w:r w:rsidRPr="004D1966">
        <w:rPr>
          <w:rFonts w:asciiTheme="majorEastAsia" w:eastAsiaTheme="majorEastAsia" w:hAnsiTheme="majorEastAsia" w:cs="Google Sans"/>
          <w:color w:val="1F1F1F"/>
        </w:rPr>
        <w:t xml:space="preserve"> 가장 취약한 계층인 16-24세의 NEET 청년이나 장기 질병으로 노동 시장을 이탈했던 인력을 과감하게 채용하는 중소기업을 위해, 초기 채용 리스크를 상쇄해 줄 임금 보조금(Wage subsidy) 제도를 즉각 도입해야 한다.</w:t>
      </w:r>
      <w:r w:rsidRPr="004D1966">
        <w:rPr>
          <w:rFonts w:asciiTheme="majorEastAsia" w:eastAsiaTheme="majorEastAsia" w:hAnsiTheme="majorEastAsia" w:cs="Google Sans"/>
          <w:color w:val="444746"/>
          <w:sz w:val="24"/>
          <w:szCs w:val="24"/>
          <w:vertAlign w:val="superscript"/>
        </w:rPr>
        <w:t>6</w:t>
      </w:r>
    </w:p>
    <w:p w14:paraId="2FA9E6FD" w14:textId="77777777" w:rsidR="009B5916" w:rsidRPr="004D1966" w:rsidRDefault="00000000">
      <w:pPr>
        <w:numPr>
          <w:ilvl w:val="0"/>
          <w:numId w:val="2"/>
        </w:numPr>
        <w:pBdr>
          <w:top w:val="nil"/>
          <w:left w:val="nil"/>
          <w:bottom w:val="nil"/>
          <w:right w:val="nil"/>
          <w:between w:val="nil"/>
        </w:pBdr>
        <w:spacing w:after="120" w:line="275" w:lineRule="auto"/>
        <w:rPr>
          <w:rFonts w:asciiTheme="majorEastAsia" w:eastAsiaTheme="majorEastAsia" w:hAnsiTheme="majorEastAsia"/>
        </w:rPr>
      </w:pPr>
      <w:r w:rsidRPr="004D1966">
        <w:rPr>
          <w:rFonts w:asciiTheme="majorEastAsia" w:eastAsiaTheme="majorEastAsia" w:hAnsiTheme="majorEastAsia" w:cs="Google Sans"/>
          <w:b/>
          <w:bCs/>
          <w:color w:val="1F1F1F"/>
        </w:rPr>
        <w:t>경영진 대상 전문 교육 펀딩:</w:t>
      </w:r>
      <w:r w:rsidRPr="004D1966">
        <w:rPr>
          <w:rFonts w:asciiTheme="majorEastAsia" w:eastAsiaTheme="majorEastAsia" w:hAnsiTheme="majorEastAsia" w:cs="Google Sans"/>
          <w:color w:val="1F1F1F"/>
        </w:rPr>
        <w:t xml:space="preserve"> 중간 관리자들이 직원의 신경다양성(Neurodiversity)과 정신 질환의 초기 징후를 적절히 관리하고 포용할 수 있도록, 고용주 지원 기금이나 세액 공제를 통한 '정신 건강 응급 처치(Mental Health First Aid)' 교육을 의무화해야 한다.</w:t>
      </w:r>
      <w:r w:rsidRPr="004D1966">
        <w:rPr>
          <w:rFonts w:asciiTheme="majorEastAsia" w:eastAsiaTheme="majorEastAsia" w:hAnsiTheme="majorEastAsia" w:cs="Google Sans"/>
          <w:color w:val="444746"/>
          <w:sz w:val="24"/>
          <w:szCs w:val="24"/>
          <w:vertAlign w:val="superscript"/>
        </w:rPr>
        <w:t>6</w:t>
      </w:r>
    </w:p>
    <w:p w14:paraId="240F5772" w14:textId="77777777" w:rsidR="009B5916" w:rsidRPr="004D1966" w:rsidRDefault="00000000">
      <w:pPr>
        <w:pStyle w:val="3"/>
        <w:spacing w:after="12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7.2. 단일 환자 기록(SPR)과 낡은 병가 진단서(Fit-note) 제도의 혁신</w:t>
      </w:r>
    </w:p>
    <w:p w14:paraId="7B9A7A97"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NHS 10개년 계획의 뼈대인 '단일 환자 기록(Single Patient Record)'은 보건의료 기관의 벽을 넘어 일터와의 데이터 교류를 가능하게 하는 훌륭한 매개체가 될 수 있다.</w:t>
      </w:r>
      <w:r w:rsidRPr="004D1966">
        <w:rPr>
          <w:rFonts w:asciiTheme="majorEastAsia" w:eastAsiaTheme="majorEastAsia" w:hAnsiTheme="majorEastAsia" w:cs="Google Sans"/>
          <w:color w:val="444746"/>
          <w:sz w:val="24"/>
          <w:szCs w:val="24"/>
          <w:vertAlign w:val="superscript"/>
        </w:rPr>
        <w:t>18</w:t>
      </w:r>
      <w:r w:rsidRPr="004D1966">
        <w:rPr>
          <w:rFonts w:asciiTheme="majorEastAsia" w:eastAsiaTheme="majorEastAsia" w:hAnsiTheme="majorEastAsia" w:cs="Google Sans"/>
          <w:color w:val="1F1F1F"/>
        </w:rPr>
        <w:t xml:space="preserve"> 직장 내 웨어러블 기기에서 수집된 심박 이상 데이터가 직원의 사전 동의하에 NHS 앱의 단일 환자 기록으로 암호화되어 전송되면, 주치의는 이를 바탕으로 발병 이전 단계에서 신속한 예방 조치를 취할 수 있다.</w:t>
      </w:r>
    </w:p>
    <w:p w14:paraId="705DEC50"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color w:val="444746"/>
          <w:sz w:val="24"/>
          <w:szCs w:val="24"/>
          <w:vertAlign w:val="superscript"/>
        </w:rPr>
      </w:pPr>
      <w:r w:rsidRPr="004D1966">
        <w:rPr>
          <w:rFonts w:asciiTheme="majorEastAsia" w:eastAsiaTheme="majorEastAsia" w:hAnsiTheme="majorEastAsia" w:cs="Google Sans"/>
          <w:color w:val="1F1F1F"/>
        </w:rPr>
        <w:t>이와 연계하여, 현재 직원이 회사를 무작정 쉬도록 장려하는 낡고 형식적인 '병가 진단서(Fit-note)' 제도는 철저히 개혁되어야 한다.</w:t>
      </w:r>
      <w:r w:rsidRPr="004D1966">
        <w:rPr>
          <w:rFonts w:asciiTheme="majorEastAsia" w:eastAsiaTheme="majorEastAsia" w:hAnsiTheme="majorEastAsia" w:cs="Google Sans"/>
          <w:color w:val="444746"/>
          <w:sz w:val="24"/>
          <w:szCs w:val="24"/>
          <w:vertAlign w:val="superscript"/>
        </w:rPr>
        <w:t>6</w:t>
      </w:r>
      <w:r w:rsidRPr="004D1966">
        <w:rPr>
          <w:rFonts w:asciiTheme="majorEastAsia" w:eastAsiaTheme="majorEastAsia" w:hAnsiTheme="majorEastAsia" w:cs="Google Sans"/>
          <w:color w:val="1F1F1F"/>
        </w:rPr>
        <w:t xml:space="preserve"> GP가 일방적으로 휴식을 지시하는 종이 쪼가리에서 벗어나, 웨어러블 데이터와 직업 환경 의학 전문의의 소견을 종합하여 직원이 신체에 무리가 가지 않는 범위 내에서 유연 근무나 재택근무를 통해 어떻게 신속히 '직장으로 복귀(Return to work)'할 수 있을지 안내하는 '동적 복귀 처방전'으로 진화해야 한다.</w:t>
      </w:r>
      <w:r w:rsidRPr="004D1966">
        <w:rPr>
          <w:rFonts w:asciiTheme="majorEastAsia" w:eastAsiaTheme="majorEastAsia" w:hAnsiTheme="majorEastAsia" w:cs="Google Sans"/>
          <w:color w:val="444746"/>
          <w:sz w:val="24"/>
          <w:szCs w:val="24"/>
          <w:vertAlign w:val="superscript"/>
        </w:rPr>
        <w:t>6</w:t>
      </w:r>
      <w:r w:rsidRPr="004D1966">
        <w:rPr>
          <w:rFonts w:asciiTheme="majorEastAsia" w:eastAsiaTheme="majorEastAsia" w:hAnsiTheme="majorEastAsia" w:cs="Google Sans"/>
          <w:color w:val="1F1F1F"/>
        </w:rPr>
        <w:t xml:space="preserve"> 영세 기업의 부담을 줄이기 위해 한동안 폐지되었던 법정 병가 수당(SSP) 환급 제도를 영세 기업(Micro-businesses)에 한해 재도입하는 조치 역시 직원의 안전한 회복을 보장하는 재정적 버팀목이 될 것이다.</w:t>
      </w:r>
      <w:r w:rsidRPr="004D1966">
        <w:rPr>
          <w:rFonts w:asciiTheme="majorEastAsia" w:eastAsiaTheme="majorEastAsia" w:hAnsiTheme="majorEastAsia" w:cs="Google Sans"/>
          <w:color w:val="444746"/>
          <w:sz w:val="24"/>
          <w:szCs w:val="24"/>
          <w:vertAlign w:val="superscript"/>
        </w:rPr>
        <w:t>6</w:t>
      </w:r>
    </w:p>
    <w:p w14:paraId="5E3FA3D5" w14:textId="77777777" w:rsidR="009B5916" w:rsidRPr="004D1966" w:rsidRDefault="00000000">
      <w:pPr>
        <w:pStyle w:val="3"/>
        <w:spacing w:before="0" w:after="12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7.3. 프라이버시, 윤리, 그리고 상호 신뢰의 아키텍처</w:t>
      </w:r>
    </w:p>
    <w:p w14:paraId="4A7D1C70"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color w:val="444746"/>
          <w:sz w:val="24"/>
          <w:szCs w:val="24"/>
          <w:vertAlign w:val="superscript"/>
        </w:rPr>
      </w:pPr>
      <w:r w:rsidRPr="004D1966">
        <w:rPr>
          <w:rFonts w:asciiTheme="majorEastAsia" w:eastAsiaTheme="majorEastAsia" w:hAnsiTheme="majorEastAsia" w:cs="Google Sans"/>
          <w:color w:val="1F1F1F"/>
        </w:rPr>
        <w:t>건강 데이터가 기업으로 유입되는 과정에서 개인의 프라이버시 침해와 감시 자본주의로의 변질을 막는 것은 절대 타협할 수 없는 윤리적 과제이다. 노동조합과 근로자들은 수면 부족이나 높은 스트레스 지수를 기록한 웨어러블 데이터가 인사 고과나 구조조정의 근거로 악용될 수 있다는 합리적인 두려움을 가지고 있다.</w:t>
      </w:r>
      <w:r w:rsidRPr="004D1966">
        <w:rPr>
          <w:rFonts w:asciiTheme="majorEastAsia" w:eastAsiaTheme="majorEastAsia" w:hAnsiTheme="majorEastAsia" w:cs="Google Sans"/>
          <w:color w:val="444746"/>
          <w:sz w:val="24"/>
          <w:szCs w:val="24"/>
          <w:vertAlign w:val="superscript"/>
        </w:rPr>
        <w:t>43</w:t>
      </w:r>
    </w:p>
    <w:p w14:paraId="3CB8CA68"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성공적인 디지털 보건 전환을 위해 기업 경영진은 데이터 수집 이전에 투명하고 엄격한 프라이버시 정책을 수립하고 직원의 '명시적이고 자발적인 사전 동의(Informed Consent)'를 획득해야 한다.</w:t>
      </w:r>
      <w:r w:rsidRPr="004D1966">
        <w:rPr>
          <w:rFonts w:asciiTheme="majorEastAsia" w:eastAsiaTheme="majorEastAsia" w:hAnsiTheme="majorEastAsia" w:cs="Google Sans"/>
          <w:color w:val="444746"/>
          <w:sz w:val="24"/>
          <w:szCs w:val="24"/>
          <w:vertAlign w:val="superscript"/>
        </w:rPr>
        <w:t>44</w:t>
      </w:r>
      <w:r w:rsidRPr="004D1966">
        <w:rPr>
          <w:rFonts w:asciiTheme="majorEastAsia" w:eastAsiaTheme="majorEastAsia" w:hAnsiTheme="majorEastAsia" w:cs="Google Sans"/>
          <w:color w:val="1F1F1F"/>
        </w:rPr>
        <w:t xml:space="preserve"> 수집되는 데이터는 정확히 무엇인지, 어떻게 익명화(Anonymization)되고 보관되는지, 특정 기한 이후에는 어떻게 영구 삭제되는지가 명확히 규정되어야 한다.</w:t>
      </w:r>
      <w:r w:rsidRPr="004D1966">
        <w:rPr>
          <w:rFonts w:asciiTheme="majorEastAsia" w:eastAsiaTheme="majorEastAsia" w:hAnsiTheme="majorEastAsia" w:cs="Google Sans"/>
          <w:color w:val="444746"/>
          <w:sz w:val="24"/>
          <w:szCs w:val="24"/>
          <w:vertAlign w:val="superscript"/>
        </w:rPr>
        <w:t>44</w:t>
      </w:r>
      <w:r w:rsidRPr="004D1966">
        <w:rPr>
          <w:rFonts w:asciiTheme="majorEastAsia" w:eastAsiaTheme="majorEastAsia" w:hAnsiTheme="majorEastAsia" w:cs="Google Sans"/>
          <w:color w:val="1F1F1F"/>
        </w:rPr>
        <w:t xml:space="preserve"> 경영진에게 보고되는 대시보드에는 특정 개인을 식별할 수 있는 원시 데이터(Raw data)의 노출을 엄격히 차단하고, 부서 단위의 집계 데이터 트렌드만을 제공하여 환경 개선 목적에만 사용되어야 한다.</w:t>
      </w:r>
      <w:r w:rsidRPr="004D1966">
        <w:rPr>
          <w:rFonts w:asciiTheme="majorEastAsia" w:eastAsiaTheme="majorEastAsia" w:hAnsiTheme="majorEastAsia" w:cs="Google Sans"/>
          <w:color w:val="444746"/>
          <w:sz w:val="24"/>
          <w:szCs w:val="24"/>
          <w:vertAlign w:val="superscript"/>
        </w:rPr>
        <w:t>43</w:t>
      </w:r>
      <w:r w:rsidRPr="004D1966">
        <w:rPr>
          <w:rFonts w:asciiTheme="majorEastAsia" w:eastAsiaTheme="majorEastAsia" w:hAnsiTheme="majorEastAsia" w:cs="Google Sans"/>
          <w:color w:val="1F1F1F"/>
        </w:rPr>
        <w:t xml:space="preserve"> 아울러 직원은 어떠한 불이익의 위협 없이 언제든지 데이터 공유를 철회할 수 있는 거부권(Opt-out)을 전적으로 보장받아야 한다.</w:t>
      </w:r>
      <w:r w:rsidRPr="004D1966">
        <w:rPr>
          <w:rFonts w:asciiTheme="majorEastAsia" w:eastAsiaTheme="majorEastAsia" w:hAnsiTheme="majorEastAsia" w:cs="Google Sans"/>
          <w:color w:val="444746"/>
          <w:sz w:val="24"/>
          <w:szCs w:val="24"/>
          <w:vertAlign w:val="superscript"/>
        </w:rPr>
        <w:t>44</w:t>
      </w:r>
      <w:r w:rsidRPr="004D1966">
        <w:rPr>
          <w:rFonts w:asciiTheme="majorEastAsia" w:eastAsiaTheme="majorEastAsia" w:hAnsiTheme="majorEastAsia" w:cs="Google Sans"/>
          <w:color w:val="1F1F1F"/>
        </w:rPr>
        <w:t xml:space="preserve"> 이처럼 기술적 보호 조치와 윤리적 투명성이 담보될 때에만, 근로자들은 웨어러블 기술을 감시자의 눈이 아닌 나를 지켜주는 든든한 보호자로 인식하게 될 것이다.</w:t>
      </w:r>
    </w:p>
    <w:p w14:paraId="1839C9D5" w14:textId="77777777" w:rsidR="009B5916" w:rsidRPr="004D1966" w:rsidRDefault="009B5916">
      <w:pPr>
        <w:pBdr>
          <w:top w:val="nil"/>
          <w:left w:val="nil"/>
          <w:bottom w:val="nil"/>
          <w:right w:val="nil"/>
          <w:between w:val="nil"/>
        </w:pBdr>
        <w:spacing w:line="275" w:lineRule="auto"/>
        <w:rPr>
          <w:rFonts w:asciiTheme="majorEastAsia" w:eastAsiaTheme="majorEastAsia" w:hAnsiTheme="majorEastAsia" w:cs="Google Sans"/>
          <w:color w:val="1F1F1F"/>
        </w:rPr>
      </w:pPr>
    </w:p>
    <w:tbl>
      <w:tblPr>
        <w:tblStyle w:val="a8"/>
        <w:tblW w:w="9360" w:type="dxa"/>
        <w:tblInd w:w="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680"/>
        <w:gridCol w:w="4680"/>
      </w:tblGrid>
      <w:tr w:rsidR="009B5916" w:rsidRPr="004D1966" w14:paraId="5E1EF6B1" w14:textId="77777777">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7C009FE1" w14:textId="77777777" w:rsidR="009B5916" w:rsidRPr="004D1966" w:rsidRDefault="00000000">
            <w:pPr>
              <w:pBdr>
                <w:top w:val="nil"/>
                <w:left w:val="nil"/>
                <w:bottom w:val="nil"/>
                <w:right w:val="nil"/>
                <w:between w:val="nil"/>
              </w:pBdr>
              <w:spacing w:before="120" w:after="120" w:line="275" w:lineRule="auto"/>
              <w:rPr>
                <w:rFonts w:asciiTheme="majorEastAsia" w:eastAsiaTheme="majorEastAsia" w:hAnsiTheme="majorEastAsia" w:cs="Google Sans"/>
                <w:b/>
                <w:bCs/>
                <w:color w:val="1F1F1F"/>
              </w:rPr>
            </w:pPr>
            <w:r w:rsidRPr="004D1966">
              <w:rPr>
                <w:rFonts w:asciiTheme="majorEastAsia" w:eastAsiaTheme="majorEastAsia" w:hAnsiTheme="majorEastAsia" w:cs="Google Sans"/>
                <w:b/>
                <w:bCs/>
                <w:color w:val="1F1F1F"/>
              </w:rPr>
              <w:t>지속 가능한 생태계 구축을 위한 전략적 핵심 과제</w:t>
            </w:r>
          </w:p>
        </w:tc>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3F028116" w14:textId="77777777" w:rsidR="009B5916" w:rsidRPr="004D1966" w:rsidRDefault="00000000">
            <w:pPr>
              <w:pBdr>
                <w:top w:val="nil"/>
                <w:left w:val="nil"/>
                <w:bottom w:val="nil"/>
                <w:right w:val="nil"/>
                <w:between w:val="nil"/>
              </w:pBdr>
              <w:spacing w:before="120" w:after="120" w:line="275" w:lineRule="auto"/>
              <w:rPr>
                <w:rFonts w:asciiTheme="majorEastAsia" w:eastAsiaTheme="majorEastAsia" w:hAnsiTheme="majorEastAsia" w:cs="Google Sans"/>
                <w:b/>
                <w:bCs/>
                <w:color w:val="1F1F1F"/>
              </w:rPr>
            </w:pPr>
            <w:r w:rsidRPr="004D1966">
              <w:rPr>
                <w:rFonts w:asciiTheme="majorEastAsia" w:eastAsiaTheme="majorEastAsia" w:hAnsiTheme="majorEastAsia" w:cs="Google Sans"/>
                <w:b/>
                <w:bCs/>
                <w:color w:val="1F1F1F"/>
              </w:rPr>
              <w:t>세부 정책 및 기업 행동 지침</w:t>
            </w:r>
          </w:p>
        </w:tc>
      </w:tr>
      <w:tr w:rsidR="009B5916" w:rsidRPr="004D1966" w14:paraId="2242F0EA" w14:textId="77777777">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64EACC00" w14:textId="77777777" w:rsidR="009B5916" w:rsidRPr="004D1966" w:rsidRDefault="00000000">
            <w:pPr>
              <w:pBdr>
                <w:top w:val="nil"/>
                <w:left w:val="nil"/>
                <w:bottom w:val="nil"/>
                <w:right w:val="nil"/>
                <w:between w:val="nil"/>
              </w:pBdr>
              <w:spacing w:line="275" w:lineRule="auto"/>
              <w:rPr>
                <w:rFonts w:asciiTheme="majorEastAsia" w:eastAsiaTheme="majorEastAsia" w:hAnsiTheme="majorEastAsia" w:cs="Google Sans"/>
                <w:color w:val="444746"/>
                <w:sz w:val="24"/>
                <w:szCs w:val="24"/>
                <w:vertAlign w:val="superscript"/>
              </w:rPr>
            </w:pPr>
            <w:r w:rsidRPr="004D1966">
              <w:rPr>
                <w:rFonts w:asciiTheme="majorEastAsia" w:eastAsiaTheme="majorEastAsia" w:hAnsiTheme="majorEastAsia" w:cs="Google Sans"/>
                <w:color w:val="1F1F1F"/>
              </w:rPr>
              <w:t xml:space="preserve">기업 투자를 위한 조세/재정 지원 </w:t>
            </w:r>
            <w:r w:rsidRPr="004D1966">
              <w:rPr>
                <w:rFonts w:asciiTheme="majorEastAsia" w:eastAsiaTheme="majorEastAsia" w:hAnsiTheme="majorEastAsia" w:cs="Google Sans"/>
                <w:color w:val="444746"/>
                <w:sz w:val="24"/>
                <w:szCs w:val="24"/>
                <w:vertAlign w:val="superscript"/>
              </w:rPr>
              <w:t>6</w:t>
            </w:r>
          </w:p>
        </w:tc>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1EA104D4" w14:textId="77777777" w:rsidR="009B5916" w:rsidRPr="004D1966" w:rsidRDefault="00000000">
            <w:pPr>
              <w:pBdr>
                <w:top w:val="nil"/>
                <w:left w:val="nil"/>
                <w:bottom w:val="nil"/>
                <w:right w:val="nil"/>
                <w:between w:val="nil"/>
              </w:pBdr>
              <w:spacing w:before="120" w:after="12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건강 투자에 대한 보험 세금(IPT) 인하 및 현물 급여(BiK) 세금 완전 면제</w:t>
            </w:r>
          </w:p>
        </w:tc>
      </w:tr>
      <w:tr w:rsidR="009B5916" w:rsidRPr="004D1966" w14:paraId="60AEC606" w14:textId="77777777">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7D2107D0" w14:textId="77777777" w:rsidR="009B5916" w:rsidRPr="004D1966" w:rsidRDefault="009B5916">
            <w:pPr>
              <w:pBdr>
                <w:top w:val="nil"/>
                <w:left w:val="nil"/>
                <w:bottom w:val="nil"/>
                <w:right w:val="nil"/>
                <w:between w:val="nil"/>
              </w:pBdr>
              <w:spacing w:line="276" w:lineRule="auto"/>
              <w:rPr>
                <w:rFonts w:asciiTheme="majorEastAsia" w:eastAsiaTheme="majorEastAsia" w:hAnsiTheme="majorEastAsia" w:cs="Google Sans"/>
                <w:color w:val="1F1F1F"/>
              </w:rPr>
            </w:pPr>
          </w:p>
        </w:tc>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7735A959" w14:textId="77777777" w:rsidR="009B5916" w:rsidRPr="004D1966" w:rsidRDefault="00000000">
            <w:pPr>
              <w:pBdr>
                <w:top w:val="nil"/>
                <w:left w:val="nil"/>
                <w:bottom w:val="nil"/>
                <w:right w:val="nil"/>
                <w:between w:val="nil"/>
              </w:pBdr>
              <w:spacing w:before="120" w:after="12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장기 질병자 채용 기업 대상 한시적 임금 보조금(Wage subsidy) 지급</w:t>
            </w:r>
          </w:p>
        </w:tc>
      </w:tr>
      <w:tr w:rsidR="009B5916" w:rsidRPr="004D1966" w14:paraId="7607338D" w14:textId="77777777">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2BEFB66A" w14:textId="77777777" w:rsidR="009B5916" w:rsidRPr="004D1966" w:rsidRDefault="009B5916">
            <w:pPr>
              <w:pBdr>
                <w:top w:val="nil"/>
                <w:left w:val="nil"/>
                <w:bottom w:val="nil"/>
                <w:right w:val="nil"/>
                <w:between w:val="nil"/>
              </w:pBdr>
              <w:spacing w:line="276" w:lineRule="auto"/>
              <w:rPr>
                <w:rFonts w:asciiTheme="majorEastAsia" w:eastAsiaTheme="majorEastAsia" w:hAnsiTheme="majorEastAsia" w:cs="Google Sans"/>
                <w:color w:val="1F1F1F"/>
              </w:rPr>
            </w:pPr>
          </w:p>
        </w:tc>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2635B901" w14:textId="77777777" w:rsidR="009B5916" w:rsidRPr="004D1966" w:rsidRDefault="00000000">
            <w:pPr>
              <w:pBdr>
                <w:top w:val="nil"/>
                <w:left w:val="nil"/>
                <w:bottom w:val="nil"/>
                <w:right w:val="nil"/>
                <w:between w:val="nil"/>
              </w:pBdr>
              <w:spacing w:before="120" w:after="12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영세 기업 대상 법정 병가 수당(SSP) 환급 제도 재도입</w:t>
            </w:r>
          </w:p>
        </w:tc>
      </w:tr>
      <w:tr w:rsidR="009B5916" w:rsidRPr="004D1966" w14:paraId="472F0128" w14:textId="77777777">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0D51A069" w14:textId="77777777" w:rsidR="009B5916" w:rsidRPr="004D1966" w:rsidRDefault="00000000">
            <w:pPr>
              <w:pBdr>
                <w:top w:val="nil"/>
                <w:left w:val="nil"/>
                <w:bottom w:val="nil"/>
                <w:right w:val="nil"/>
                <w:between w:val="nil"/>
              </w:pBdr>
              <w:spacing w:line="275" w:lineRule="auto"/>
              <w:rPr>
                <w:rFonts w:asciiTheme="majorEastAsia" w:eastAsiaTheme="majorEastAsia" w:hAnsiTheme="majorEastAsia" w:cs="Google Sans"/>
                <w:color w:val="444746"/>
                <w:sz w:val="24"/>
                <w:szCs w:val="24"/>
                <w:vertAlign w:val="superscript"/>
              </w:rPr>
            </w:pPr>
            <w:r w:rsidRPr="004D1966">
              <w:rPr>
                <w:rFonts w:asciiTheme="majorEastAsia" w:eastAsiaTheme="majorEastAsia" w:hAnsiTheme="majorEastAsia" w:cs="Google Sans"/>
                <w:color w:val="1F1F1F"/>
              </w:rPr>
              <w:t xml:space="preserve">공공 보건 인프라와 직장 데이터 연계 </w:t>
            </w:r>
            <w:r w:rsidRPr="004D1966">
              <w:rPr>
                <w:rFonts w:asciiTheme="majorEastAsia" w:eastAsiaTheme="majorEastAsia" w:hAnsiTheme="majorEastAsia" w:cs="Google Sans"/>
                <w:color w:val="444746"/>
                <w:sz w:val="24"/>
                <w:szCs w:val="24"/>
                <w:vertAlign w:val="superscript"/>
              </w:rPr>
              <w:t>6</w:t>
            </w:r>
          </w:p>
        </w:tc>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0F839D1C" w14:textId="77777777" w:rsidR="009B5916" w:rsidRPr="004D1966" w:rsidRDefault="00000000">
            <w:pPr>
              <w:pBdr>
                <w:top w:val="nil"/>
                <w:left w:val="nil"/>
                <w:bottom w:val="nil"/>
                <w:right w:val="nil"/>
                <w:between w:val="nil"/>
              </w:pBdr>
              <w:spacing w:before="120" w:after="12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단일 환자 기록(SPR)을 활용한 임상 데이터와 기업 지원 프로그램의 통합</w:t>
            </w:r>
          </w:p>
        </w:tc>
      </w:tr>
      <w:tr w:rsidR="009B5916" w:rsidRPr="004D1966" w14:paraId="0DFCF6EE" w14:textId="77777777">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714C2808" w14:textId="77777777" w:rsidR="009B5916" w:rsidRPr="004D1966" w:rsidRDefault="009B5916">
            <w:pPr>
              <w:pBdr>
                <w:top w:val="nil"/>
                <w:left w:val="nil"/>
                <w:bottom w:val="nil"/>
                <w:right w:val="nil"/>
                <w:between w:val="nil"/>
              </w:pBdr>
              <w:spacing w:line="276" w:lineRule="auto"/>
              <w:rPr>
                <w:rFonts w:asciiTheme="majorEastAsia" w:eastAsiaTheme="majorEastAsia" w:hAnsiTheme="majorEastAsia" w:cs="Google Sans"/>
                <w:color w:val="1F1F1F"/>
              </w:rPr>
            </w:pPr>
          </w:p>
        </w:tc>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11A8A635" w14:textId="77777777" w:rsidR="009B5916" w:rsidRPr="004D1966" w:rsidRDefault="00000000">
            <w:pPr>
              <w:pBdr>
                <w:top w:val="nil"/>
                <w:left w:val="nil"/>
                <w:bottom w:val="nil"/>
                <w:right w:val="nil"/>
                <w:between w:val="nil"/>
              </w:pBdr>
              <w:spacing w:before="120" w:after="12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현행 병가 진단서(Fit-note)를 조기 직장 복귀 지원을 위한 맞춤형 처방으로 개편</w:t>
            </w:r>
          </w:p>
        </w:tc>
      </w:tr>
      <w:tr w:rsidR="009B5916" w:rsidRPr="004D1966" w14:paraId="46929C9B" w14:textId="77777777">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3C99BA5D" w14:textId="77777777" w:rsidR="009B5916" w:rsidRPr="004D1966" w:rsidRDefault="00000000">
            <w:pPr>
              <w:pBdr>
                <w:top w:val="nil"/>
                <w:left w:val="nil"/>
                <w:bottom w:val="nil"/>
                <w:right w:val="nil"/>
                <w:between w:val="nil"/>
              </w:pBdr>
              <w:spacing w:line="275" w:lineRule="auto"/>
              <w:rPr>
                <w:rFonts w:asciiTheme="majorEastAsia" w:eastAsiaTheme="majorEastAsia" w:hAnsiTheme="majorEastAsia" w:cs="Google Sans"/>
                <w:color w:val="444746"/>
                <w:sz w:val="24"/>
                <w:szCs w:val="24"/>
                <w:vertAlign w:val="superscript"/>
              </w:rPr>
            </w:pPr>
            <w:r w:rsidRPr="004D1966">
              <w:rPr>
                <w:rFonts w:asciiTheme="majorEastAsia" w:eastAsiaTheme="majorEastAsia" w:hAnsiTheme="majorEastAsia" w:cs="Google Sans"/>
                <w:color w:val="1F1F1F"/>
              </w:rPr>
              <w:t xml:space="preserve">데이터 프라이버시와 윤리적 투명성 </w:t>
            </w:r>
            <w:r w:rsidRPr="004D1966">
              <w:rPr>
                <w:rFonts w:asciiTheme="majorEastAsia" w:eastAsiaTheme="majorEastAsia" w:hAnsiTheme="majorEastAsia" w:cs="Google Sans"/>
                <w:color w:val="444746"/>
                <w:sz w:val="24"/>
                <w:szCs w:val="24"/>
                <w:vertAlign w:val="superscript"/>
              </w:rPr>
              <w:t>43</w:t>
            </w:r>
          </w:p>
        </w:tc>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708F5A93" w14:textId="77777777" w:rsidR="009B5916" w:rsidRPr="004D1966" w:rsidRDefault="00000000">
            <w:pPr>
              <w:pBdr>
                <w:top w:val="nil"/>
                <w:left w:val="nil"/>
                <w:bottom w:val="nil"/>
                <w:right w:val="nil"/>
                <w:between w:val="nil"/>
              </w:pBdr>
              <w:spacing w:before="120" w:after="12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명시적 사전 동의 획득 및 데이터 수집·보관·폐기 절차의 완전한 투명성 보장</w:t>
            </w:r>
          </w:p>
        </w:tc>
      </w:tr>
      <w:tr w:rsidR="009B5916" w:rsidRPr="004D1966" w14:paraId="1A6FB529" w14:textId="77777777">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018ED309" w14:textId="77777777" w:rsidR="009B5916" w:rsidRPr="004D1966" w:rsidRDefault="009B5916">
            <w:pPr>
              <w:pBdr>
                <w:top w:val="nil"/>
                <w:left w:val="nil"/>
                <w:bottom w:val="nil"/>
                <w:right w:val="nil"/>
                <w:between w:val="nil"/>
              </w:pBdr>
              <w:spacing w:line="276" w:lineRule="auto"/>
              <w:rPr>
                <w:rFonts w:asciiTheme="majorEastAsia" w:eastAsiaTheme="majorEastAsia" w:hAnsiTheme="majorEastAsia" w:cs="Google Sans"/>
                <w:color w:val="1F1F1F"/>
              </w:rPr>
            </w:pPr>
          </w:p>
        </w:tc>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5F42A2E3" w14:textId="77777777" w:rsidR="009B5916" w:rsidRPr="004D1966" w:rsidRDefault="00000000">
            <w:pPr>
              <w:pBdr>
                <w:top w:val="nil"/>
                <w:left w:val="nil"/>
                <w:bottom w:val="nil"/>
                <w:right w:val="nil"/>
                <w:between w:val="nil"/>
              </w:pBdr>
              <w:spacing w:before="120" w:after="12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인사 고과 반영 절대 금지, 경영진 보고 시 집계(Aggregated) 및 익명화 의무화</w:t>
            </w:r>
          </w:p>
        </w:tc>
      </w:tr>
    </w:tbl>
    <w:p w14:paraId="4A85AAE7" w14:textId="77777777" w:rsidR="009B5916" w:rsidRPr="004D1966" w:rsidRDefault="00000000">
      <w:pPr>
        <w:pStyle w:val="2"/>
        <w:spacing w:before="0" w:after="12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8. 결론: 기술과 제도의 융합이 창출하는 웰빙 경제의 실현</w:t>
      </w:r>
    </w:p>
    <w:p w14:paraId="04FA44ED"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국가의 진정한 부(Wealth)는 곧 국민의 건강(Health)에 다름 아니다. 전체 노동력의 7%에 달하는 280만 명이 장기 질병이라는 고통 속에 갇혀 일터를 떠나고, 연간 1,350억 파운드라는 천문학적인 경제적 잠재력이 허공으로 증발하고 있는 영국의 현실은, 인구 고령화 시대를 맞이하는 모든 선진 경제가 직면한 준엄한 경고이다.</w:t>
      </w:r>
      <w:r w:rsidRPr="004D1966">
        <w:rPr>
          <w:rFonts w:asciiTheme="majorEastAsia" w:eastAsiaTheme="majorEastAsia" w:hAnsiTheme="majorEastAsia" w:cs="Google Sans"/>
          <w:color w:val="444746"/>
          <w:sz w:val="24"/>
          <w:szCs w:val="24"/>
          <w:vertAlign w:val="superscript"/>
        </w:rPr>
        <w:t>6</w:t>
      </w:r>
      <w:r w:rsidRPr="004D1966">
        <w:rPr>
          <w:rFonts w:asciiTheme="majorEastAsia" w:eastAsiaTheme="majorEastAsia" w:hAnsiTheme="majorEastAsia" w:cs="Google Sans"/>
          <w:color w:val="1F1F1F"/>
        </w:rPr>
        <w:t xml:space="preserve"> 한편에서는 끝없는 대기 명단에 신음하는 NHS의 공공 보건 시스템이 있고, 다른 한편에서는 기술과 인력 부족에 허덕이는 기업의 신음이 존재한다.</w:t>
      </w:r>
      <w:r w:rsidRPr="004D1966">
        <w:rPr>
          <w:rFonts w:asciiTheme="majorEastAsia" w:eastAsiaTheme="majorEastAsia" w:hAnsiTheme="majorEastAsia" w:cs="Google Sans"/>
          <w:color w:val="444746"/>
          <w:sz w:val="24"/>
          <w:szCs w:val="24"/>
          <w:vertAlign w:val="superscript"/>
        </w:rPr>
        <w:t>6</w:t>
      </w:r>
      <w:r w:rsidRPr="004D1966">
        <w:rPr>
          <w:rFonts w:asciiTheme="majorEastAsia" w:eastAsiaTheme="majorEastAsia" w:hAnsiTheme="majorEastAsia" w:cs="Google Sans"/>
          <w:color w:val="1F1F1F"/>
        </w:rPr>
        <w:t xml:space="preserve"> 이 파편화되고 분절된 위기의 고리를 끊어낼 수 있는 유일한 길은, 이 두 거대한 시스템을 하나로 통합하는 패러다임의 극적인 전환뿐이다.</w:t>
      </w:r>
    </w:p>
    <w:p w14:paraId="1032E5E2"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영국 정부가 선언한 'NHS 10개년 계획'의 세 가지 전환—병원에서 지역사회로, 아날로그에서 디지털로, 질병 치료에서 선제적 예방으로의 이행—은 국가 보건 정책의 지향점을 정확히 짚어낸 담대한 마스터플랜이다.</w:t>
      </w:r>
      <w:r w:rsidRPr="004D1966">
        <w:rPr>
          <w:rFonts w:asciiTheme="majorEastAsia" w:eastAsiaTheme="majorEastAsia" w:hAnsiTheme="majorEastAsia" w:cs="Google Sans"/>
          <w:color w:val="444746"/>
          <w:sz w:val="24"/>
          <w:szCs w:val="24"/>
          <w:vertAlign w:val="superscript"/>
        </w:rPr>
        <w:t>1</w:t>
      </w:r>
      <w:r w:rsidRPr="004D1966">
        <w:rPr>
          <w:rFonts w:asciiTheme="majorEastAsia" w:eastAsiaTheme="majorEastAsia" w:hAnsiTheme="majorEastAsia" w:cs="Google Sans"/>
          <w:color w:val="1F1F1F"/>
        </w:rPr>
        <w:t xml:space="preserve"> 그리고 이 원대한 비전을 환자의 일상과 가장 밀접한 공간인 '일터(Workplace)'에서 실현 가능하게 만들어 주는 강력한 무기가 바로 딥러닝과 웨어러블 기술이다. 가상 병동 기술은 중증 환자가 삶의 터전에서 치료와 일상을 병행하게 해주며 </w:t>
      </w:r>
      <w:r w:rsidRPr="004D1966">
        <w:rPr>
          <w:rFonts w:asciiTheme="majorEastAsia" w:eastAsiaTheme="majorEastAsia" w:hAnsiTheme="majorEastAsia" w:cs="Google Sans"/>
          <w:color w:val="444746"/>
          <w:sz w:val="24"/>
          <w:szCs w:val="24"/>
          <w:vertAlign w:val="superscript"/>
        </w:rPr>
        <w:t>21</w:t>
      </w:r>
      <w:r w:rsidRPr="004D1966">
        <w:rPr>
          <w:rFonts w:asciiTheme="majorEastAsia" w:eastAsiaTheme="majorEastAsia" w:hAnsiTheme="majorEastAsia" w:cs="Google Sans"/>
          <w:color w:val="1F1F1F"/>
        </w:rPr>
        <w:t>, 임상 등급 웨어러블 센서는 근골격계 질환과 멘탈 번아웃이 발생하기 전에 위험 신호를 포착하여 산재 비용을 반감시키고 있다.</w:t>
      </w:r>
      <w:r w:rsidRPr="004D1966">
        <w:rPr>
          <w:rFonts w:asciiTheme="majorEastAsia" w:eastAsiaTheme="majorEastAsia" w:hAnsiTheme="majorEastAsia" w:cs="Google Sans"/>
          <w:color w:val="444746"/>
          <w:sz w:val="24"/>
          <w:szCs w:val="24"/>
          <w:vertAlign w:val="superscript"/>
        </w:rPr>
        <w:t>5</w:t>
      </w:r>
      <w:r w:rsidRPr="004D1966">
        <w:rPr>
          <w:rFonts w:asciiTheme="majorEastAsia" w:eastAsiaTheme="majorEastAsia" w:hAnsiTheme="majorEastAsia" w:cs="Google Sans"/>
          <w:color w:val="1F1F1F"/>
        </w:rPr>
        <w:t xml:space="preserve"> 데이터는 이제 보건 관리의 사후 보고서가 아니라, 생명을 지키고 생산성을 견인하는 예방적 나침반이 되었다.</w:t>
      </w:r>
    </w:p>
    <w:p w14:paraId="0BA9C1E8"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color w:val="444746"/>
          <w:sz w:val="24"/>
          <w:szCs w:val="24"/>
          <w:vertAlign w:val="superscript"/>
        </w:rPr>
      </w:pPr>
      <w:r w:rsidRPr="004D1966">
        <w:rPr>
          <w:rFonts w:asciiTheme="majorEastAsia" w:eastAsiaTheme="majorEastAsia" w:hAnsiTheme="majorEastAsia" w:cs="Google Sans"/>
          <w:color w:val="1F1F1F"/>
        </w:rPr>
        <w:t>그러나 기술의 진보만으로는 충분하지 않다. 영세한 중소기업조차 직원들의 건강 증진에 과감히 투자할 수 있도록 정부는 낡은 세제 제도를 뜯어고치고 파격적인 인센티브를 제공해야 한다.</w:t>
      </w:r>
      <w:r w:rsidRPr="004D1966">
        <w:rPr>
          <w:rFonts w:asciiTheme="majorEastAsia" w:eastAsiaTheme="majorEastAsia" w:hAnsiTheme="majorEastAsia" w:cs="Google Sans"/>
          <w:color w:val="444746"/>
          <w:sz w:val="24"/>
          <w:szCs w:val="24"/>
          <w:vertAlign w:val="superscript"/>
        </w:rPr>
        <w:t>6</w:t>
      </w:r>
      <w:r w:rsidRPr="004D1966">
        <w:rPr>
          <w:rFonts w:asciiTheme="majorEastAsia" w:eastAsiaTheme="majorEastAsia" w:hAnsiTheme="majorEastAsia" w:cs="Google Sans"/>
          <w:color w:val="1F1F1F"/>
        </w:rPr>
        <w:t xml:space="preserve"> 동시에 기업은 '병가 관리'라는 소극적 태도에서 벗어나, 직원의 신체적, 정신적 웰빙을 기업 전략의 최우선 가치로 격상시키고, 투명한 데이터 윤리를 통해 조직원들과의 굳건한 신뢰를 구축해야 한다.</w:t>
      </w:r>
      <w:r w:rsidRPr="004D1966">
        <w:rPr>
          <w:rFonts w:asciiTheme="majorEastAsia" w:eastAsiaTheme="majorEastAsia" w:hAnsiTheme="majorEastAsia" w:cs="Google Sans"/>
          <w:color w:val="444746"/>
          <w:sz w:val="24"/>
          <w:szCs w:val="24"/>
          <w:vertAlign w:val="superscript"/>
        </w:rPr>
        <w:t>43</w:t>
      </w:r>
    </w:p>
    <w:p w14:paraId="0A809A9B"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보건 정책 입안자, 기업의 리더, 그리고 첨단 기술 혁신가들이 '사람을 통한 성장'이라는 하나의 목표 아래 융합할 때, 우리는 '질병으로 인한 노동 시장 이탈'이라는 거시경제적 질곡에서 벗어날 수 있다. 다가오는 시대의 기업 경쟁력은 더 이상 얼마나 많은 시간을 일하게 하느냐가 아니라, 직원의 건강을 얼마나 과학적이고 선제적으로 지켜내느냐에 의해 결정될 것이다. 웨어러블 기술이 빚어내는 데이터와 예방 의학의 교차점, 그곳에 바로 지속 가능한 웰빙 경제와 기업 보건의 눈부신 미래가 기다리고 있다.</w:t>
      </w:r>
    </w:p>
    <w:p w14:paraId="02B7DE11" w14:textId="77777777" w:rsidR="009B5916" w:rsidRPr="004D1966" w:rsidRDefault="00000000">
      <w:pPr>
        <w:pStyle w:val="3"/>
        <w:spacing w:before="120" w:after="120" w:line="275" w:lineRule="auto"/>
        <w:rPr>
          <w:rFonts w:asciiTheme="majorEastAsia" w:eastAsiaTheme="majorEastAsia" w:hAnsiTheme="majorEastAsia" w:cs="Google Sans"/>
          <w:color w:val="1F1F1F"/>
        </w:rPr>
      </w:pPr>
      <w:r w:rsidRPr="004D1966">
        <w:rPr>
          <w:rFonts w:asciiTheme="majorEastAsia" w:eastAsiaTheme="majorEastAsia" w:hAnsiTheme="majorEastAsia"/>
        </w:rPr>
        <w:pict w14:anchorId="23A88DDD">
          <v:rect id="_x0000_i1025" style="width:0;height:1.5pt" o:hralign="center" o:hrstd="t" o:hr="t" fillcolor="#a0a0a0" stroked="f"/>
        </w:pict>
      </w:r>
      <w:r w:rsidRPr="004D1966">
        <w:rPr>
          <w:rFonts w:asciiTheme="majorEastAsia" w:eastAsiaTheme="majorEastAsia" w:hAnsiTheme="majorEastAsia" w:cs="Google Sans"/>
          <w:color w:val="1F1F1F"/>
        </w:rPr>
        <w:t>[부록] 소셜 미디어 배포용 인사이트 (Social Media Insights)</w:t>
      </w:r>
    </w:p>
    <w:p w14:paraId="62CED6AA"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본 연구 보고서의 확산과 비즈니스 리더들의 인식 제고를 위해, 플랫폼별(LinkedIn 및 Facebook) 특성에 최적화된 소셜 미디어 게재용 텍스트를 제안한다.</w:t>
      </w:r>
    </w:p>
    <w:p w14:paraId="340E2335" w14:textId="77777777" w:rsidR="009B5916" w:rsidRPr="004D1966" w:rsidRDefault="00000000">
      <w:pPr>
        <w:pStyle w:val="4"/>
        <w:spacing w:before="0" w:after="120" w:line="275" w:lineRule="auto"/>
        <w:rPr>
          <w:rFonts w:asciiTheme="majorEastAsia" w:eastAsiaTheme="majorEastAsia" w:hAnsiTheme="majorEastAsia" w:cs="Google Sans"/>
          <w:color w:val="1F1F1F"/>
        </w:rPr>
      </w:pPr>
      <w:r w:rsidRPr="004D1966">
        <w:rPr>
          <w:rFonts w:ascii="Segoe UI Emoji" w:eastAsiaTheme="majorEastAsia" w:hAnsi="Segoe UI Emoji" w:cs="Segoe UI Emoji"/>
          <w:color w:val="1F1F1F"/>
        </w:rPr>
        <w:t>📝</w:t>
      </w:r>
    </w:p>
    <w:p w14:paraId="1D6984DE"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b/>
          <w:bCs/>
          <w:color w:val="1F1F1F"/>
        </w:rPr>
      </w:pPr>
      <w:r w:rsidRPr="004D1966">
        <w:rPr>
          <w:rFonts w:asciiTheme="majorEastAsia" w:eastAsiaTheme="majorEastAsia" w:hAnsiTheme="majorEastAsia" w:cs="Google Sans"/>
          <w:b/>
          <w:bCs/>
          <w:color w:val="1F1F1F"/>
        </w:rPr>
        <w:t>제목: 장기 질병으로 인한 경제 생산성 손실 연간 £130bn. 귀하의 기업은 '후행 지표'에 머물러 계십니까, 아니면 '선행 지표'로 혁신하셨습니까?</w:t>
      </w:r>
    </w:p>
    <w:p w14:paraId="741AFF9A"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영국 노동 시장의 위기가 심상치 않습니다. ONS와 BCC 최신 데이터에 따르면, 무려 **280만 명(노동력의 7%)**이 '장기 질병'으로 인해 경제활동 비활동(Economic Inactivity) 상태에 놓여 있습니다. 이로 인한 순수 경제 손실만 연간 1,350억 파운드. 매년 30만 명의 인재가 건강 악화로 기업을 떠나며, 남아있는 직원의 68%는 가중된 업무량으로 다시 번아웃의 위기에 처하는 악순환이 반복되고 있습니다.</w:t>
      </w:r>
    </w:p>
    <w:p w14:paraId="4ACCB7AC"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단순히 국가(NHS) 의료 시스템만의 문제일까요? 더 이상 그렇지 않습니다.</w:t>
      </w:r>
    </w:p>
    <w:p w14:paraId="2AAF1DB9"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최신 연구 보고서 **«웨어러블, 기업 보건의 미래를 열다»**는 이 위기를 돌파할 핵심 전략으로 기업 보건(Occupational Health)의 패러다임 전환을 제시합니다.</w:t>
      </w:r>
    </w:p>
    <w:p w14:paraId="1B140CB0"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 xml:space="preserve">사고 후 수습하는 '진단 및 치료(Diagnose and treat)' 모델은 수명을 다했습니다. 이제 AI 알고리즘과 임상 등급 웨어러블에 기반한 </w:t>
      </w:r>
      <w:r w:rsidRPr="004D1966">
        <w:rPr>
          <w:rFonts w:asciiTheme="majorEastAsia" w:eastAsiaTheme="majorEastAsia" w:hAnsiTheme="majorEastAsia" w:cs="Google Sans"/>
          <w:b/>
          <w:bCs/>
          <w:color w:val="1F1F1F"/>
        </w:rPr>
        <w:t>'예측 및 예방(Predict and prevent)'</w:t>
      </w:r>
      <w:r w:rsidRPr="004D1966">
        <w:rPr>
          <w:rFonts w:asciiTheme="majorEastAsia" w:eastAsiaTheme="majorEastAsia" w:hAnsiTheme="majorEastAsia" w:cs="Google Sans"/>
          <w:color w:val="1F1F1F"/>
        </w:rPr>
        <w:t xml:space="preserve"> 모델로 진화해야 합니다.</w:t>
      </w:r>
    </w:p>
    <w:p w14:paraId="6B37848A" w14:textId="77777777" w:rsidR="009B5916" w:rsidRPr="004D1966" w:rsidRDefault="00000000">
      <w:pPr>
        <w:pBdr>
          <w:top w:val="nil"/>
          <w:left w:val="nil"/>
          <w:bottom w:val="nil"/>
          <w:right w:val="nil"/>
          <w:between w:val="nil"/>
        </w:pBdr>
        <w:spacing w:after="120" w:line="275" w:lineRule="auto"/>
        <w:rPr>
          <w:rFonts w:asciiTheme="majorEastAsia" w:eastAsiaTheme="majorEastAsia" w:hAnsiTheme="majorEastAsia" w:cs="Google Sans"/>
          <w:b/>
          <w:bCs/>
          <w:color w:val="1F1F1F"/>
        </w:rPr>
      </w:pPr>
      <w:r w:rsidRPr="004D1966">
        <w:rPr>
          <w:rFonts w:ascii="Segoe UI Emoji" w:eastAsiaTheme="majorEastAsia" w:hAnsi="Segoe UI Emoji" w:cs="Segoe UI Emoji"/>
          <w:color w:val="1F1F1F"/>
        </w:rPr>
        <w:t>📊</w:t>
      </w:r>
      <w:r w:rsidRPr="004D1966">
        <w:rPr>
          <w:rFonts w:asciiTheme="majorEastAsia" w:eastAsiaTheme="majorEastAsia" w:hAnsiTheme="majorEastAsia" w:cs="Google Sans"/>
          <w:color w:val="1F1F1F"/>
        </w:rPr>
        <w:t xml:space="preserve"> </w:t>
      </w:r>
      <w:r w:rsidRPr="004D1966">
        <w:rPr>
          <w:rFonts w:asciiTheme="majorEastAsia" w:eastAsiaTheme="majorEastAsia" w:hAnsiTheme="majorEastAsia" w:cs="Google Sans"/>
          <w:b/>
          <w:bCs/>
          <w:color w:val="1F1F1F"/>
        </w:rPr>
        <w:t>보고서가 밝힌 핵심 비즈니스 임팩트:</w:t>
      </w:r>
    </w:p>
    <w:p w14:paraId="4BE4A2B6" w14:textId="77777777" w:rsidR="009B5916" w:rsidRPr="004D1966" w:rsidRDefault="00000000">
      <w:pPr>
        <w:numPr>
          <w:ilvl w:val="0"/>
          <w:numId w:val="3"/>
        </w:numPr>
        <w:pBdr>
          <w:top w:val="nil"/>
          <w:left w:val="nil"/>
          <w:bottom w:val="nil"/>
          <w:right w:val="nil"/>
          <w:between w:val="nil"/>
        </w:pBdr>
        <w:spacing w:line="275" w:lineRule="auto"/>
        <w:rPr>
          <w:rFonts w:asciiTheme="majorEastAsia" w:eastAsiaTheme="majorEastAsia" w:hAnsiTheme="majorEastAsia"/>
        </w:rPr>
      </w:pPr>
      <w:r w:rsidRPr="004D1966">
        <w:rPr>
          <w:rFonts w:asciiTheme="majorEastAsia" w:eastAsiaTheme="majorEastAsia" w:hAnsiTheme="majorEastAsia" w:cs="Google Sans"/>
          <w:b/>
          <w:bCs/>
          <w:color w:val="1F1F1F"/>
        </w:rPr>
        <w:t>산재 비용 50% 절감:</w:t>
      </w:r>
      <w:r w:rsidRPr="004D1966">
        <w:rPr>
          <w:rFonts w:asciiTheme="majorEastAsia" w:eastAsiaTheme="majorEastAsia" w:hAnsiTheme="majorEastAsia" w:cs="Google Sans"/>
          <w:color w:val="1F1F1F"/>
        </w:rPr>
        <w:t xml:space="preserve"> 작업자에게 스마트 센서를 부착하여 인체공학적 위험 요소를 실시간 교정한 결과, 고위험 작업군에서 막대한 산재 보상 청구 절감 효과가 증명되었습니다.</w:t>
      </w:r>
    </w:p>
    <w:p w14:paraId="1D42EE45" w14:textId="77777777" w:rsidR="009B5916" w:rsidRPr="004D1966" w:rsidRDefault="00000000">
      <w:pPr>
        <w:numPr>
          <w:ilvl w:val="0"/>
          <w:numId w:val="3"/>
        </w:numPr>
        <w:pBdr>
          <w:top w:val="nil"/>
          <w:left w:val="nil"/>
          <w:bottom w:val="nil"/>
          <w:right w:val="nil"/>
          <w:between w:val="nil"/>
        </w:pBdr>
        <w:spacing w:line="275" w:lineRule="auto"/>
        <w:rPr>
          <w:rFonts w:asciiTheme="majorEastAsia" w:eastAsiaTheme="majorEastAsia" w:hAnsiTheme="majorEastAsia"/>
        </w:rPr>
      </w:pPr>
      <w:r w:rsidRPr="004D1966">
        <w:rPr>
          <w:rFonts w:asciiTheme="majorEastAsia" w:eastAsiaTheme="majorEastAsia" w:hAnsiTheme="majorEastAsia" w:cs="Google Sans"/>
          <w:b/>
          <w:bCs/>
          <w:color w:val="1F1F1F"/>
        </w:rPr>
        <w:t>멘탈 데미지의 조기 경보:</w:t>
      </w:r>
      <w:r w:rsidRPr="004D1966">
        <w:rPr>
          <w:rFonts w:asciiTheme="majorEastAsia" w:eastAsiaTheme="majorEastAsia" w:hAnsiTheme="majorEastAsia" w:cs="Google Sans"/>
          <w:color w:val="1F1F1F"/>
        </w:rPr>
        <w:t xml:space="preserve"> 심박변이도(HRV)와 수면 데이터를 분석하여 장기 결근의 최대 주범인 우울증 및 불안장애를 발현 전(Pre-symptomatic)에 감지합니다.</w:t>
      </w:r>
    </w:p>
    <w:p w14:paraId="2BBB91DA" w14:textId="77777777" w:rsidR="009B5916" w:rsidRPr="004D1966" w:rsidRDefault="00000000">
      <w:pPr>
        <w:numPr>
          <w:ilvl w:val="0"/>
          <w:numId w:val="3"/>
        </w:numPr>
        <w:pBdr>
          <w:top w:val="nil"/>
          <w:left w:val="nil"/>
          <w:bottom w:val="nil"/>
          <w:right w:val="nil"/>
          <w:between w:val="nil"/>
        </w:pBdr>
        <w:spacing w:after="120" w:line="275" w:lineRule="auto"/>
        <w:rPr>
          <w:rFonts w:asciiTheme="majorEastAsia" w:eastAsiaTheme="majorEastAsia" w:hAnsiTheme="majorEastAsia"/>
        </w:rPr>
      </w:pPr>
      <w:r w:rsidRPr="004D1966">
        <w:rPr>
          <w:rFonts w:asciiTheme="majorEastAsia" w:eastAsiaTheme="majorEastAsia" w:hAnsiTheme="majorEastAsia" w:cs="Google Sans"/>
          <w:b/>
          <w:bCs/>
          <w:color w:val="1F1F1F"/>
        </w:rPr>
        <w:t>조직 위험도 24% 감소:</w:t>
      </w:r>
      <w:r w:rsidRPr="004D1966">
        <w:rPr>
          <w:rFonts w:asciiTheme="majorEastAsia" w:eastAsiaTheme="majorEastAsia" w:hAnsiTheme="majorEastAsia" w:cs="Google Sans"/>
          <w:color w:val="1F1F1F"/>
        </w:rPr>
        <w:t xml:space="preserve"> 게이미피케이션이 결합된 웨어러블 웰니스 도입 기업은 참여율을 67% 끌어올리고 전반적인 직원 건강 위험 지수를 획기적으로 낮췄습니다.</w:t>
      </w:r>
    </w:p>
    <w:p w14:paraId="55D7284B" w14:textId="77777777" w:rsidR="009B5916" w:rsidRPr="004D1966" w:rsidRDefault="00000000">
      <w:pPr>
        <w:pBdr>
          <w:top w:val="nil"/>
          <w:left w:val="nil"/>
          <w:bottom w:val="nil"/>
          <w:right w:val="nil"/>
          <w:between w:val="nil"/>
        </w:pBdr>
        <w:spacing w:before="240" w:after="24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NHS의 '병원에서 지역사회 및 직장으로'의 거대한 전환(10-Year Health Plan)에 발맞춰, 기업의 선제적 건강 투자에 대한 강력한 세제 혜택(Benefit in Kind 면제 등) 요구가 현실화되고 있습니다.</w:t>
      </w:r>
    </w:p>
    <w:p w14:paraId="3A31A5C1"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직원의 건강 지표 데이터가 곧 기업의 가장 강력한 미래 경쟁력입니다. 투명하고 윤리적인 데이터 활용을 바탕으로, 건강하고 회복 탄력성 높은 조직 문화를 어떻게 설계할 것인지 심도 있는 통찰이 필요하신 리더분들께 본 보고서의 일독을 권합니다.</w:t>
      </w:r>
    </w:p>
    <w:p w14:paraId="1DB0B528"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color w:val="1F1F1F"/>
        </w:rPr>
      </w:pPr>
      <w:r w:rsidRPr="004D1966">
        <w:rPr>
          <w:rFonts w:ascii="Segoe UI Emoji" w:eastAsiaTheme="majorEastAsia" w:hAnsi="Segoe UI Emoji" w:cs="Segoe UI Emoji"/>
          <w:color w:val="1F1F1F"/>
        </w:rPr>
        <w:t>💡</w:t>
      </w:r>
      <w:r w:rsidRPr="004D1966">
        <w:rPr>
          <w:rFonts w:asciiTheme="majorEastAsia" w:eastAsiaTheme="majorEastAsia" w:hAnsiTheme="majorEastAsia" w:cs="Google Sans"/>
          <w:color w:val="1F1F1F"/>
        </w:rPr>
        <w:t xml:space="preserve"> 자세한 정책 제언 및 웨어러블 적용 사례는 전체 보고서에서 확인해 보십시오.</w:t>
      </w:r>
    </w:p>
    <w:p w14:paraId="1F22836B"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#CorporateHealth #기업보건 #EconomicInactivity #WearableTech #웨어러블 #디지털헬스케어 #인사관리 #ESG #NHSRelated #미래업무환경 #Leadership</w:t>
      </w:r>
    </w:p>
    <w:p w14:paraId="0A186914" w14:textId="77777777" w:rsidR="009B5916" w:rsidRPr="004D1966" w:rsidRDefault="00000000">
      <w:pPr>
        <w:pStyle w:val="4"/>
        <w:spacing w:before="120" w:after="120" w:line="275" w:lineRule="auto"/>
        <w:rPr>
          <w:rFonts w:asciiTheme="majorEastAsia" w:eastAsiaTheme="majorEastAsia" w:hAnsiTheme="majorEastAsia" w:cs="Google Sans"/>
          <w:color w:val="1F1F1F"/>
        </w:rPr>
      </w:pPr>
      <w:r w:rsidRPr="004D1966">
        <w:rPr>
          <w:rFonts w:asciiTheme="majorEastAsia" w:eastAsiaTheme="majorEastAsia" w:hAnsiTheme="majorEastAsia"/>
        </w:rPr>
        <w:pict w14:anchorId="1457187A">
          <v:rect id="_x0000_i1026" style="width:0;height:1.5pt" o:hralign="center" o:hrstd="t" o:hr="t" fillcolor="#a0a0a0" stroked="f"/>
        </w:pict>
      </w:r>
      <w:r w:rsidRPr="004D1966">
        <w:rPr>
          <w:rFonts w:ascii="Segoe UI Emoji" w:eastAsiaTheme="majorEastAsia" w:hAnsi="Segoe UI Emoji" w:cs="Segoe UI Emoji"/>
          <w:color w:val="1F1F1F"/>
        </w:rPr>
        <w:t>📱</w:t>
      </w:r>
      <w:r w:rsidRPr="004D1966">
        <w:rPr>
          <w:rFonts w:asciiTheme="majorEastAsia" w:eastAsiaTheme="majorEastAsia" w:hAnsiTheme="majorEastAsia" w:cs="Google Sans"/>
          <w:color w:val="1F1F1F"/>
        </w:rPr>
        <w:t xml:space="preserve"> [버전 2: 페이스북(Facebook)용 - 일반 직장인 및 산업 현장 종사자 타겟]</w:t>
      </w:r>
    </w:p>
    <w:p w14:paraId="6583E97F"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b/>
          <w:bCs/>
          <w:color w:val="1F1F1F"/>
        </w:rPr>
      </w:pPr>
      <w:r w:rsidRPr="004D1966">
        <w:rPr>
          <w:rFonts w:ascii="Segoe UI Emoji" w:eastAsiaTheme="majorEastAsia" w:hAnsi="Segoe UI Emoji" w:cs="Segoe UI Emoji"/>
          <w:b/>
          <w:bCs/>
          <w:color w:val="1F1F1F"/>
        </w:rPr>
        <w:t>🚨</w:t>
      </w:r>
      <w:r w:rsidRPr="004D1966">
        <w:rPr>
          <w:rFonts w:asciiTheme="majorEastAsia" w:eastAsiaTheme="majorEastAsia" w:hAnsiTheme="majorEastAsia" w:cs="Google Sans"/>
          <w:b/>
          <w:bCs/>
          <w:color w:val="1F1F1F"/>
        </w:rPr>
        <w:t xml:space="preserve"> 갑자기 사라진 내 직장 동료, 그 진짜 이유를 아시나요?</w:t>
      </w:r>
    </w:p>
    <w:p w14:paraId="10A1A70C"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 xml:space="preserve">몸이 아파도 눈치가 보여서 억지로 출근하고, 병원 예약은 몇 달씩 밀려 있고... 결국 버티다 못해 퇴사를 선택하는 분들의 이야기, 혹시 남 일 같지 않으신가요? </w:t>
      </w:r>
      <w:r w:rsidRPr="004D1966">
        <w:rPr>
          <w:rFonts w:ascii="Segoe UI Emoji" w:eastAsiaTheme="majorEastAsia" w:hAnsi="Segoe UI Emoji" w:cs="Segoe UI Emoji"/>
          <w:color w:val="1F1F1F"/>
        </w:rPr>
        <w:t>😥</w:t>
      </w:r>
    </w:p>
    <w:p w14:paraId="24923F25"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 xml:space="preserve">최근 영국 통계청 발표에 따르면, 무려 </w:t>
      </w:r>
      <w:r w:rsidRPr="004D1966">
        <w:rPr>
          <w:rFonts w:asciiTheme="majorEastAsia" w:eastAsiaTheme="majorEastAsia" w:hAnsiTheme="majorEastAsia" w:cs="Google Sans"/>
          <w:b/>
          <w:bCs/>
          <w:color w:val="1F1F1F"/>
        </w:rPr>
        <w:t>280만 명</w:t>
      </w:r>
      <w:r w:rsidRPr="004D1966">
        <w:rPr>
          <w:rFonts w:asciiTheme="majorEastAsia" w:eastAsiaTheme="majorEastAsia" w:hAnsiTheme="majorEastAsia" w:cs="Google Sans"/>
          <w:color w:val="1F1F1F"/>
        </w:rPr>
        <w:t>이 넘는 사람들이 '장기적인 건강 문제' 때문에 일을 하지 못하고 있다고 합니다. 심지어 이 중 135만 명은 우울증, 극심한 스트레스 같은 '정신 건강' 문제로 고통받고 있죠.</w:t>
      </w:r>
    </w:p>
    <w:p w14:paraId="198D225F"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점점 붕괴해 가는 병원 시스템에만 기대야 할까요? 다행히 해결책이 나타나고 있습니다.</w:t>
      </w:r>
    </w:p>
    <w:p w14:paraId="566C4544"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 xml:space="preserve">바로 우리 일터로 성큼 다가온 </w:t>
      </w:r>
      <w:r w:rsidRPr="004D1966">
        <w:rPr>
          <w:rFonts w:asciiTheme="majorEastAsia" w:eastAsiaTheme="majorEastAsia" w:hAnsiTheme="majorEastAsia" w:cs="Google Sans"/>
          <w:b/>
          <w:bCs/>
          <w:color w:val="1F1F1F"/>
        </w:rPr>
        <w:t>'최첨단 웨어러블 기술'</w:t>
      </w:r>
      <w:r w:rsidRPr="004D1966">
        <w:rPr>
          <w:rFonts w:asciiTheme="majorEastAsia" w:eastAsiaTheme="majorEastAsia" w:hAnsiTheme="majorEastAsia" w:cs="Google Sans"/>
          <w:color w:val="1F1F1F"/>
        </w:rPr>
        <w:t xml:space="preserve"> 덕분입니다! </w:t>
      </w:r>
      <w:r w:rsidRPr="004D1966">
        <w:rPr>
          <w:rFonts w:ascii="Segoe UI Emoji" w:eastAsiaTheme="majorEastAsia" w:hAnsi="Segoe UI Emoji" w:cs="Segoe UI Emoji"/>
          <w:color w:val="1F1F1F"/>
        </w:rPr>
        <w:t>⌚️💡</w:t>
      </w:r>
    </w:p>
    <w:p w14:paraId="12AA28BC" w14:textId="77777777" w:rsidR="009B5916" w:rsidRPr="004D1966" w:rsidRDefault="00000000">
      <w:pPr>
        <w:pBdr>
          <w:top w:val="nil"/>
          <w:left w:val="nil"/>
          <w:bottom w:val="nil"/>
          <w:right w:val="nil"/>
          <w:between w:val="nil"/>
        </w:pBdr>
        <w:spacing w:after="12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과거에는 작업 중 다치거나 병이 난 후에야 산재 처리를 했다면, 이제는 다릅니다.</w:t>
      </w:r>
    </w:p>
    <w:p w14:paraId="24E95E69" w14:textId="77777777" w:rsidR="009B5916" w:rsidRPr="004D1966" w:rsidRDefault="00000000">
      <w:pPr>
        <w:numPr>
          <w:ilvl w:val="0"/>
          <w:numId w:val="4"/>
        </w:numPr>
        <w:pBdr>
          <w:top w:val="nil"/>
          <w:left w:val="nil"/>
          <w:bottom w:val="nil"/>
          <w:right w:val="nil"/>
          <w:between w:val="nil"/>
        </w:pBdr>
        <w:spacing w:line="275" w:lineRule="auto"/>
        <w:rPr>
          <w:rFonts w:asciiTheme="majorEastAsia" w:eastAsiaTheme="majorEastAsia" w:hAnsiTheme="majorEastAsia"/>
        </w:rPr>
      </w:pPr>
      <w:r w:rsidRPr="004D1966">
        <w:rPr>
          <w:rFonts w:asciiTheme="majorEastAsia" w:eastAsiaTheme="majorEastAsia" w:hAnsiTheme="majorEastAsia" w:cs="Google Sans"/>
          <w:b/>
          <w:bCs/>
          <w:color w:val="1F1F1F"/>
        </w:rPr>
        <w:t>스마트 작업복/센서</w:t>
      </w:r>
      <w:r w:rsidRPr="004D1966">
        <w:rPr>
          <w:rFonts w:asciiTheme="majorEastAsia" w:eastAsiaTheme="majorEastAsia" w:hAnsiTheme="majorEastAsia" w:cs="Google Sans"/>
          <w:color w:val="1F1F1F"/>
        </w:rPr>
        <w:t xml:space="preserve">가 허리나 관절에 무리가 가는 위험한 자세를 감지해 즉각 진동으로 경고해 줍니다! (실제로 도입 후 다치는 직원이 절반이나 줄었다고 해요 </w:t>
      </w:r>
      <w:r w:rsidRPr="004D1966">
        <w:rPr>
          <w:rFonts w:ascii="Segoe UI Emoji" w:eastAsiaTheme="majorEastAsia" w:hAnsi="Segoe UI Emoji" w:cs="Segoe UI Emoji"/>
          <w:color w:val="1F1F1F"/>
        </w:rPr>
        <w:t>📉</w:t>
      </w:r>
      <w:r w:rsidRPr="004D1966">
        <w:rPr>
          <w:rFonts w:asciiTheme="majorEastAsia" w:eastAsiaTheme="majorEastAsia" w:hAnsiTheme="majorEastAsia" w:cs="Google Sans"/>
          <w:color w:val="1F1F1F"/>
        </w:rPr>
        <w:t>)</w:t>
      </w:r>
    </w:p>
    <w:p w14:paraId="27D798C5" w14:textId="77777777" w:rsidR="009B5916" w:rsidRPr="004D1966" w:rsidRDefault="00000000">
      <w:pPr>
        <w:numPr>
          <w:ilvl w:val="0"/>
          <w:numId w:val="4"/>
        </w:numPr>
        <w:pBdr>
          <w:top w:val="nil"/>
          <w:left w:val="nil"/>
          <w:bottom w:val="nil"/>
          <w:right w:val="nil"/>
          <w:between w:val="nil"/>
        </w:pBdr>
        <w:spacing w:after="120" w:line="275" w:lineRule="auto"/>
        <w:rPr>
          <w:rFonts w:asciiTheme="majorEastAsia" w:eastAsiaTheme="majorEastAsia" w:hAnsiTheme="majorEastAsia"/>
        </w:rPr>
      </w:pPr>
      <w:r w:rsidRPr="004D1966">
        <w:rPr>
          <w:rFonts w:asciiTheme="majorEastAsia" w:eastAsiaTheme="majorEastAsia" w:hAnsiTheme="majorEastAsia" w:cs="Google Sans"/>
          <w:b/>
          <w:bCs/>
          <w:color w:val="1F1F1F"/>
        </w:rPr>
        <w:t>스마트워치</w:t>
      </w:r>
      <w:r w:rsidRPr="004D1966">
        <w:rPr>
          <w:rFonts w:asciiTheme="majorEastAsia" w:eastAsiaTheme="majorEastAsia" w:hAnsiTheme="majorEastAsia" w:cs="Google Sans"/>
          <w:color w:val="1F1F1F"/>
        </w:rPr>
        <w:t xml:space="preserve">가 수면 패턴과 심장 박동의 변화를 분석해서, "지금 스트레스 수치가 위험 수준이니 잠깐 휴식과 명상이 필요해요"라고 조언해 주어 번아웃을 막아줍니다. </w:t>
      </w:r>
      <w:r w:rsidRPr="004D1966">
        <w:rPr>
          <w:rFonts w:ascii="Segoe UI Emoji" w:eastAsiaTheme="majorEastAsia" w:hAnsi="Segoe UI Emoji" w:cs="Segoe UI Emoji"/>
          <w:color w:val="1F1F1F"/>
        </w:rPr>
        <w:t>🧘</w:t>
      </w:r>
      <w:r w:rsidRPr="004D1966">
        <w:rPr>
          <w:rFonts w:asciiTheme="majorEastAsia" w:eastAsiaTheme="majorEastAsia" w:hAnsiTheme="majorEastAsia" w:cs="Google Sans"/>
          <w:color w:val="1F1F1F"/>
        </w:rPr>
        <w:t>‍♂️</w:t>
      </w:r>
    </w:p>
    <w:p w14:paraId="150C8101" w14:textId="77777777" w:rsidR="009B5916" w:rsidRPr="004D1966" w:rsidRDefault="00000000">
      <w:pPr>
        <w:pBdr>
          <w:top w:val="nil"/>
          <w:left w:val="nil"/>
          <w:bottom w:val="nil"/>
          <w:right w:val="nil"/>
          <w:between w:val="nil"/>
        </w:pBdr>
        <w:spacing w:before="240" w:after="24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 xml:space="preserve">아프고 나서 치료하는 옛날 방식은 끝났습니다. 이제는 </w:t>
      </w:r>
      <w:r w:rsidRPr="004D1966">
        <w:rPr>
          <w:rFonts w:asciiTheme="majorEastAsia" w:eastAsiaTheme="majorEastAsia" w:hAnsiTheme="majorEastAsia" w:cs="Google Sans"/>
          <w:b/>
          <w:bCs/>
          <w:color w:val="1F1F1F"/>
        </w:rPr>
        <w:t>'아프기 전에 미리 예측하고 지켜주는' 예방의 시대</w:t>
      </w:r>
      <w:r w:rsidRPr="004D1966">
        <w:rPr>
          <w:rFonts w:asciiTheme="majorEastAsia" w:eastAsiaTheme="majorEastAsia" w:hAnsiTheme="majorEastAsia" w:cs="Google Sans"/>
          <w:color w:val="1F1F1F"/>
        </w:rPr>
        <w:t>입니다.</w:t>
      </w:r>
    </w:p>
    <w:p w14:paraId="1BBDC920"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건강한 일터가 곧 최고의 복지이자 국가의 미래입니다! 회사가 어떻게 스마트 기술을 활용해 우리의 든든한 건강 지킴이가 될 수 있는지, 최신 트렌드를 꼼꼼히 짚어본 리포트를 확인해 보세요.</w:t>
      </w:r>
    </w:p>
    <w:p w14:paraId="5AD98838" w14:textId="77777777" w:rsidR="009B5916" w:rsidRPr="004D1966" w:rsidRDefault="00000000">
      <w:pPr>
        <w:pBdr>
          <w:top w:val="nil"/>
          <w:left w:val="nil"/>
          <w:bottom w:val="nil"/>
          <w:right w:val="nil"/>
          <w:between w:val="nil"/>
        </w:pBdr>
        <w:spacing w:after="240"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 xml:space="preserve">여러분의 회사는 직원의 건강을 위해 어떤 노력을 하고 있나요? 댓글로 여러분의 생각이나 바라는 점을 자유롭게 공유해 주세요! </w:t>
      </w:r>
      <w:r w:rsidRPr="004D1966">
        <w:rPr>
          <w:rFonts w:ascii="Segoe UI Emoji" w:eastAsiaTheme="majorEastAsia" w:hAnsi="Segoe UI Emoji" w:cs="Segoe UI Emoji"/>
          <w:color w:val="1F1F1F"/>
        </w:rPr>
        <w:t>👇✨</w:t>
      </w:r>
    </w:p>
    <w:p w14:paraId="664BC401" w14:textId="77777777" w:rsidR="009B5916" w:rsidRPr="004D1966" w:rsidRDefault="00000000">
      <w:pPr>
        <w:pBdr>
          <w:top w:val="nil"/>
          <w:left w:val="nil"/>
          <w:bottom w:val="nil"/>
          <w:right w:val="nil"/>
          <w:between w:val="nil"/>
        </w:pBdr>
        <w:spacing w:after="255" w:line="275" w:lineRule="auto"/>
        <w:rPr>
          <w:rFonts w:asciiTheme="majorEastAsia" w:eastAsiaTheme="majorEastAsia" w:hAnsiTheme="majorEastAsia" w:cs="Google Sans"/>
          <w:color w:val="1F1F1F"/>
        </w:rPr>
      </w:pPr>
      <w:r w:rsidRPr="004D1966">
        <w:rPr>
          <w:rFonts w:asciiTheme="majorEastAsia" w:eastAsiaTheme="majorEastAsia" w:hAnsiTheme="majorEastAsia" w:cs="Google Sans"/>
          <w:color w:val="1F1F1F"/>
        </w:rPr>
        <w:t>#직장인건강 #웨어러블 #스마트워치 #번아웃예방 #직무스트레스 #안전보건 #산재예방 #워라밸 #디지털헬스케어 #건강한일터 #트렌드분석</w:t>
      </w:r>
    </w:p>
    <w:p w14:paraId="03AB3747" w14:textId="77777777" w:rsidR="009B5916" w:rsidRPr="004D1966" w:rsidRDefault="00000000">
      <w:pPr>
        <w:pStyle w:val="4"/>
        <w:spacing w:before="0"/>
        <w:rPr>
          <w:rFonts w:asciiTheme="majorEastAsia" w:eastAsiaTheme="majorEastAsia" w:hAnsiTheme="majorEastAsia" w:cs="Google Sans"/>
        </w:rPr>
      </w:pPr>
      <w:r w:rsidRPr="004D1966">
        <w:rPr>
          <w:rFonts w:asciiTheme="majorEastAsia" w:eastAsiaTheme="majorEastAsia" w:hAnsiTheme="majorEastAsia" w:cs="Google Sans"/>
        </w:rPr>
        <w:t>Works cited</w:t>
      </w:r>
    </w:p>
    <w:p w14:paraId="5A745B42" w14:textId="77777777" w:rsidR="009B5916" w:rsidRPr="004D1966" w:rsidRDefault="00000000">
      <w:pPr>
        <w:numPr>
          <w:ilvl w:val="0"/>
          <w:numId w:val="5"/>
        </w:numPr>
        <w:pBdr>
          <w:top w:val="nil"/>
          <w:left w:val="nil"/>
          <w:bottom w:val="nil"/>
          <w:right w:val="nil"/>
          <w:between w:val="nil"/>
        </w:pBdr>
        <w:rPr>
          <w:rFonts w:asciiTheme="majorEastAsia" w:eastAsiaTheme="majorEastAsia" w:hAnsiTheme="majorEastAsia"/>
        </w:rPr>
      </w:pPr>
      <w:r w:rsidRPr="004D1966">
        <w:rPr>
          <w:rFonts w:asciiTheme="majorEastAsia" w:eastAsiaTheme="majorEastAsia" w:hAnsiTheme="majorEastAsia" w:cs="Google Sans"/>
          <w:sz w:val="24"/>
          <w:szCs w:val="24"/>
        </w:rPr>
        <w:t xml:space="preserve">Impact statement: 10 Year Health Plan for England - GOV.UK, accessed on March 11, 2026, </w:t>
      </w:r>
      <w:hyperlink r:id="rId5">
        <w:r w:rsidRPr="004D1966">
          <w:rPr>
            <w:rFonts w:asciiTheme="majorEastAsia" w:eastAsiaTheme="majorEastAsia" w:hAnsiTheme="majorEastAsia" w:cs="Google Sans"/>
            <w:color w:val="0000EE"/>
            <w:sz w:val="24"/>
            <w:szCs w:val="24"/>
            <w:u w:val="single"/>
          </w:rPr>
          <w:t>https://assets.publishing.service.gov.uk/media/69651a7699fbdc498faecd1f/impact-statement-10-year-health-plan.pdf</w:t>
        </w:r>
      </w:hyperlink>
    </w:p>
    <w:p w14:paraId="3CDDE338" w14:textId="77777777" w:rsidR="009B5916" w:rsidRPr="004D1966" w:rsidRDefault="00000000">
      <w:pPr>
        <w:numPr>
          <w:ilvl w:val="0"/>
          <w:numId w:val="5"/>
        </w:numPr>
        <w:pBdr>
          <w:top w:val="nil"/>
          <w:left w:val="nil"/>
          <w:bottom w:val="nil"/>
          <w:right w:val="nil"/>
          <w:between w:val="nil"/>
        </w:pBdr>
        <w:rPr>
          <w:rFonts w:asciiTheme="majorEastAsia" w:eastAsiaTheme="majorEastAsia" w:hAnsiTheme="majorEastAsia"/>
        </w:rPr>
      </w:pPr>
      <w:r w:rsidRPr="004D1966">
        <w:rPr>
          <w:rFonts w:asciiTheme="majorEastAsia" w:eastAsiaTheme="majorEastAsia" w:hAnsiTheme="majorEastAsia" w:cs="Google Sans"/>
          <w:sz w:val="24"/>
          <w:szCs w:val="24"/>
        </w:rPr>
        <w:t xml:space="preserve">Summary letter from Lord Darzi to the Secretary of State for Health and Social Care, accessed on March 11, 2026, </w:t>
      </w:r>
      <w:hyperlink r:id="rId6">
        <w:r w:rsidRPr="004D1966">
          <w:rPr>
            <w:rFonts w:asciiTheme="majorEastAsia" w:eastAsiaTheme="majorEastAsia" w:hAnsiTheme="majorEastAsia" w:cs="Google Sans"/>
            <w:color w:val="0000EE"/>
            <w:sz w:val="24"/>
            <w:szCs w:val="24"/>
            <w:u w:val="single"/>
          </w:rPr>
          <w:t>https://www.gov.uk/government/publications/independent-investigation-of-the-nhs-in-england/summary-letter-from-lord-darzi-to-the-secretary-of-state-for-health-and-social-care</w:t>
        </w:r>
      </w:hyperlink>
    </w:p>
    <w:p w14:paraId="2762B8EE" w14:textId="77777777" w:rsidR="009B5916" w:rsidRPr="004D1966" w:rsidRDefault="00000000">
      <w:pPr>
        <w:numPr>
          <w:ilvl w:val="0"/>
          <w:numId w:val="5"/>
        </w:numPr>
        <w:pBdr>
          <w:top w:val="nil"/>
          <w:left w:val="nil"/>
          <w:bottom w:val="nil"/>
          <w:right w:val="nil"/>
          <w:between w:val="nil"/>
        </w:pBdr>
        <w:rPr>
          <w:rFonts w:asciiTheme="majorEastAsia" w:eastAsiaTheme="majorEastAsia" w:hAnsiTheme="majorEastAsia"/>
        </w:rPr>
      </w:pPr>
      <w:r w:rsidRPr="004D1966">
        <w:rPr>
          <w:rFonts w:asciiTheme="majorEastAsia" w:eastAsiaTheme="majorEastAsia" w:hAnsiTheme="majorEastAsia" w:cs="Google Sans"/>
          <w:sz w:val="24"/>
          <w:szCs w:val="24"/>
        </w:rPr>
        <w:t xml:space="preserve">Fit for the future: 10 Year Health Plan for England (accessible version) - GOV.UK, accessed on March 11, 2026, </w:t>
      </w:r>
      <w:hyperlink r:id="rId7">
        <w:r w:rsidRPr="004D1966">
          <w:rPr>
            <w:rFonts w:asciiTheme="majorEastAsia" w:eastAsiaTheme="majorEastAsia" w:hAnsiTheme="majorEastAsia" w:cs="Google Sans"/>
            <w:color w:val="0000EE"/>
            <w:sz w:val="24"/>
            <w:szCs w:val="24"/>
            <w:u w:val="single"/>
          </w:rPr>
          <w:t>https://www.gov.uk/government/publications/10-year-health-plan-for-england-fit-for-the-future/fit-for-the-future-10-year-health-plan-for-england-accessible-version</w:t>
        </w:r>
      </w:hyperlink>
    </w:p>
    <w:p w14:paraId="115D5748" w14:textId="77777777" w:rsidR="009B5916" w:rsidRPr="004D1966" w:rsidRDefault="00000000">
      <w:pPr>
        <w:numPr>
          <w:ilvl w:val="0"/>
          <w:numId w:val="5"/>
        </w:numPr>
        <w:pBdr>
          <w:top w:val="nil"/>
          <w:left w:val="nil"/>
          <w:bottom w:val="nil"/>
          <w:right w:val="nil"/>
          <w:between w:val="nil"/>
        </w:pBdr>
        <w:rPr>
          <w:rFonts w:asciiTheme="majorEastAsia" w:eastAsiaTheme="majorEastAsia" w:hAnsiTheme="majorEastAsia"/>
        </w:rPr>
      </w:pPr>
      <w:r w:rsidRPr="004D1966">
        <w:rPr>
          <w:rFonts w:asciiTheme="majorEastAsia" w:eastAsiaTheme="majorEastAsia" w:hAnsiTheme="majorEastAsia" w:cs="Google Sans"/>
          <w:sz w:val="24"/>
          <w:szCs w:val="24"/>
        </w:rPr>
        <w:t xml:space="preserve">Wearable technology in healthcare: How recent advances are transforming patient care, accessed on March 11, 2026, </w:t>
      </w:r>
      <w:hyperlink r:id="rId8">
        <w:r w:rsidRPr="004D1966">
          <w:rPr>
            <w:rFonts w:asciiTheme="majorEastAsia" w:eastAsiaTheme="majorEastAsia" w:hAnsiTheme="majorEastAsia" w:cs="Google Sans"/>
            <w:color w:val="0000EE"/>
            <w:sz w:val="24"/>
            <w:szCs w:val="24"/>
            <w:u w:val="single"/>
          </w:rPr>
          <w:t>https://diagnostics.roche.com/global/en/healthcare-transformers/article/wearable-technology-in-healthcare.html</w:t>
        </w:r>
      </w:hyperlink>
    </w:p>
    <w:p w14:paraId="44EA304F" w14:textId="77777777" w:rsidR="009B5916" w:rsidRPr="004D1966" w:rsidRDefault="00000000">
      <w:pPr>
        <w:numPr>
          <w:ilvl w:val="0"/>
          <w:numId w:val="5"/>
        </w:numPr>
        <w:pBdr>
          <w:top w:val="nil"/>
          <w:left w:val="nil"/>
          <w:bottom w:val="nil"/>
          <w:right w:val="nil"/>
          <w:between w:val="nil"/>
        </w:pBdr>
        <w:rPr>
          <w:rFonts w:asciiTheme="majorEastAsia" w:eastAsiaTheme="majorEastAsia" w:hAnsiTheme="majorEastAsia"/>
        </w:rPr>
      </w:pPr>
      <w:r w:rsidRPr="004D1966">
        <w:rPr>
          <w:rFonts w:asciiTheme="majorEastAsia" w:eastAsiaTheme="majorEastAsia" w:hAnsiTheme="majorEastAsia" w:cs="Google Sans"/>
          <w:sz w:val="24"/>
          <w:szCs w:val="24"/>
        </w:rPr>
        <w:t xml:space="preserve">The Future of Workplace Injury Prevention: The Rise of Predictive Safety - WorkCare, accessed on March 11, 2026, </w:t>
      </w:r>
      <w:hyperlink r:id="rId9">
        <w:r w:rsidRPr="004D1966">
          <w:rPr>
            <w:rFonts w:asciiTheme="majorEastAsia" w:eastAsiaTheme="majorEastAsia" w:hAnsiTheme="majorEastAsia" w:cs="Google Sans"/>
            <w:color w:val="0000EE"/>
            <w:sz w:val="24"/>
            <w:szCs w:val="24"/>
            <w:u w:val="single"/>
          </w:rPr>
          <w:t>https://workcare.com/resources/blog/the-future-of-workplace-injury-prevention-the-rise-of-predictive-safety/</w:t>
        </w:r>
      </w:hyperlink>
    </w:p>
    <w:p w14:paraId="674C27A8" w14:textId="77777777" w:rsidR="009B5916" w:rsidRPr="004D1966" w:rsidRDefault="00000000">
      <w:pPr>
        <w:numPr>
          <w:ilvl w:val="0"/>
          <w:numId w:val="5"/>
        </w:numPr>
        <w:pBdr>
          <w:top w:val="nil"/>
          <w:left w:val="nil"/>
          <w:bottom w:val="nil"/>
          <w:right w:val="nil"/>
          <w:between w:val="nil"/>
        </w:pBdr>
        <w:rPr>
          <w:rFonts w:asciiTheme="majorEastAsia" w:eastAsiaTheme="majorEastAsia" w:hAnsiTheme="majorEastAsia"/>
        </w:rPr>
      </w:pPr>
      <w:r w:rsidRPr="004D1966">
        <w:rPr>
          <w:rFonts w:asciiTheme="majorEastAsia" w:eastAsiaTheme="majorEastAsia" w:hAnsiTheme="majorEastAsia" w:cs="Google Sans"/>
          <w:sz w:val="24"/>
          <w:szCs w:val="24"/>
        </w:rPr>
        <w:t xml:space="preserve">Long-term Sickness Blighting UK Economy - British Chambers of ..., accessed on March 11, 2026, </w:t>
      </w:r>
      <w:hyperlink r:id="rId10">
        <w:r w:rsidRPr="004D1966">
          <w:rPr>
            <w:rFonts w:asciiTheme="majorEastAsia" w:eastAsiaTheme="majorEastAsia" w:hAnsiTheme="majorEastAsia" w:cs="Google Sans"/>
            <w:color w:val="0000EE"/>
            <w:sz w:val="24"/>
            <w:szCs w:val="24"/>
            <w:u w:val="single"/>
          </w:rPr>
          <w:t>https://www.britishchambers.org.uk/news/2025/09/long-term-sickness-blighting-uk-economy/</w:t>
        </w:r>
      </w:hyperlink>
    </w:p>
    <w:p w14:paraId="6F9A3384" w14:textId="77777777" w:rsidR="009B5916" w:rsidRPr="004D1966" w:rsidRDefault="00000000">
      <w:pPr>
        <w:numPr>
          <w:ilvl w:val="0"/>
          <w:numId w:val="5"/>
        </w:numPr>
        <w:pBdr>
          <w:top w:val="nil"/>
          <w:left w:val="nil"/>
          <w:bottom w:val="nil"/>
          <w:right w:val="nil"/>
          <w:between w:val="nil"/>
        </w:pBdr>
        <w:rPr>
          <w:rFonts w:asciiTheme="majorEastAsia" w:eastAsiaTheme="majorEastAsia" w:hAnsiTheme="majorEastAsia"/>
        </w:rPr>
      </w:pPr>
      <w:r w:rsidRPr="004D1966">
        <w:rPr>
          <w:rFonts w:asciiTheme="majorEastAsia" w:eastAsiaTheme="majorEastAsia" w:hAnsiTheme="majorEastAsia" w:cs="Google Sans"/>
          <w:sz w:val="24"/>
          <w:szCs w:val="24"/>
        </w:rPr>
        <w:t xml:space="preserve">Economic update: Inactivity due to illness reaches record - The House of Commons Library, accessed on March 11, 2026, </w:t>
      </w:r>
      <w:hyperlink r:id="rId11">
        <w:r w:rsidRPr="004D1966">
          <w:rPr>
            <w:rFonts w:asciiTheme="majorEastAsia" w:eastAsiaTheme="majorEastAsia" w:hAnsiTheme="majorEastAsia" w:cs="Google Sans"/>
            <w:color w:val="0000EE"/>
            <w:sz w:val="24"/>
            <w:szCs w:val="24"/>
            <w:u w:val="single"/>
          </w:rPr>
          <w:t>https://commonslibrary.parliament.uk/economic-update-inactivity-due-to-illness-reaches-record/</w:t>
        </w:r>
      </w:hyperlink>
    </w:p>
    <w:p w14:paraId="09B746D8" w14:textId="77777777" w:rsidR="009B5916" w:rsidRPr="004D1966" w:rsidRDefault="00000000">
      <w:pPr>
        <w:numPr>
          <w:ilvl w:val="0"/>
          <w:numId w:val="5"/>
        </w:numPr>
        <w:pBdr>
          <w:top w:val="nil"/>
          <w:left w:val="nil"/>
          <w:bottom w:val="nil"/>
          <w:right w:val="nil"/>
          <w:between w:val="nil"/>
        </w:pBdr>
        <w:rPr>
          <w:rFonts w:asciiTheme="majorEastAsia" w:eastAsiaTheme="majorEastAsia" w:hAnsiTheme="majorEastAsia"/>
        </w:rPr>
      </w:pPr>
      <w:r w:rsidRPr="004D1966">
        <w:rPr>
          <w:rFonts w:asciiTheme="majorEastAsia" w:eastAsiaTheme="majorEastAsia" w:hAnsiTheme="majorEastAsia" w:cs="Google Sans"/>
          <w:sz w:val="24"/>
          <w:szCs w:val="24"/>
        </w:rPr>
        <w:t xml:space="preserve">Economic inactivity - Office for National Statistics, accessed on March 11, 2026, </w:t>
      </w:r>
      <w:hyperlink r:id="rId12">
        <w:r w:rsidRPr="004D1966">
          <w:rPr>
            <w:rFonts w:asciiTheme="majorEastAsia" w:eastAsiaTheme="majorEastAsia" w:hAnsiTheme="majorEastAsia" w:cs="Google Sans"/>
            <w:color w:val="0000EE"/>
            <w:sz w:val="24"/>
            <w:szCs w:val="24"/>
            <w:u w:val="single"/>
          </w:rPr>
          <w:t>https://www.ons.gov.uk/employmentandlabourmarket/peoplenotinwork/economicinactivity</w:t>
        </w:r>
      </w:hyperlink>
    </w:p>
    <w:p w14:paraId="5725718F" w14:textId="77777777" w:rsidR="009B5916" w:rsidRPr="004D1966" w:rsidRDefault="00000000">
      <w:pPr>
        <w:numPr>
          <w:ilvl w:val="0"/>
          <w:numId w:val="5"/>
        </w:numPr>
        <w:pBdr>
          <w:top w:val="nil"/>
          <w:left w:val="nil"/>
          <w:bottom w:val="nil"/>
          <w:right w:val="nil"/>
          <w:between w:val="nil"/>
        </w:pBdr>
        <w:rPr>
          <w:rFonts w:asciiTheme="majorEastAsia" w:eastAsiaTheme="majorEastAsia" w:hAnsiTheme="majorEastAsia"/>
        </w:rPr>
      </w:pPr>
      <w:r w:rsidRPr="004D1966">
        <w:rPr>
          <w:rFonts w:asciiTheme="majorEastAsia" w:eastAsiaTheme="majorEastAsia" w:hAnsiTheme="majorEastAsia" w:cs="Google Sans"/>
          <w:sz w:val="24"/>
          <w:szCs w:val="24"/>
        </w:rPr>
        <w:t xml:space="preserve">Trends in health-related economic inactivity by smoking status in England, 2013–2025: a population-based analysis - PMC, accessed on March 11, 2026, </w:t>
      </w:r>
      <w:hyperlink r:id="rId13">
        <w:r w:rsidRPr="004D1966">
          <w:rPr>
            <w:rFonts w:asciiTheme="majorEastAsia" w:eastAsiaTheme="majorEastAsia" w:hAnsiTheme="majorEastAsia" w:cs="Google Sans"/>
            <w:color w:val="0000EE"/>
            <w:sz w:val="24"/>
            <w:szCs w:val="24"/>
            <w:u w:val="single"/>
          </w:rPr>
          <w:t>https://pmc.ncbi.nlm.nih.gov/articles/PMC12541643/</w:t>
        </w:r>
      </w:hyperlink>
    </w:p>
    <w:p w14:paraId="5282516A" w14:textId="77777777" w:rsidR="009B5916" w:rsidRPr="004D1966" w:rsidRDefault="00000000">
      <w:pPr>
        <w:numPr>
          <w:ilvl w:val="0"/>
          <w:numId w:val="5"/>
        </w:numPr>
        <w:pBdr>
          <w:top w:val="nil"/>
          <w:left w:val="nil"/>
          <w:bottom w:val="nil"/>
          <w:right w:val="nil"/>
          <w:between w:val="nil"/>
        </w:pBdr>
        <w:rPr>
          <w:rFonts w:asciiTheme="majorEastAsia" w:eastAsiaTheme="majorEastAsia" w:hAnsiTheme="majorEastAsia"/>
        </w:rPr>
      </w:pPr>
      <w:r w:rsidRPr="004D1966">
        <w:rPr>
          <w:rFonts w:asciiTheme="majorEastAsia" w:eastAsiaTheme="majorEastAsia" w:hAnsiTheme="majorEastAsia" w:cs="Google Sans"/>
          <w:sz w:val="24"/>
          <w:szCs w:val="24"/>
        </w:rPr>
        <w:t xml:space="preserve">UK labour market statistics - UK Parliament, accessed on March 11, 2026, </w:t>
      </w:r>
      <w:hyperlink r:id="rId14">
        <w:r w:rsidRPr="004D1966">
          <w:rPr>
            <w:rFonts w:asciiTheme="majorEastAsia" w:eastAsiaTheme="majorEastAsia" w:hAnsiTheme="majorEastAsia" w:cs="Google Sans"/>
            <w:color w:val="0000EE"/>
            <w:sz w:val="24"/>
            <w:szCs w:val="24"/>
            <w:u w:val="single"/>
          </w:rPr>
          <w:t>https://researchbriefings.files.parliament.uk/documents/CBP-9366/CBP-9366.pdf</w:t>
        </w:r>
      </w:hyperlink>
    </w:p>
    <w:p w14:paraId="6C7A40DF" w14:textId="77777777" w:rsidR="009B5916" w:rsidRPr="004D1966" w:rsidRDefault="00000000">
      <w:pPr>
        <w:numPr>
          <w:ilvl w:val="0"/>
          <w:numId w:val="5"/>
        </w:numPr>
        <w:pBdr>
          <w:top w:val="nil"/>
          <w:left w:val="nil"/>
          <w:bottom w:val="nil"/>
          <w:right w:val="nil"/>
          <w:between w:val="nil"/>
        </w:pBdr>
        <w:rPr>
          <w:rFonts w:asciiTheme="majorEastAsia" w:eastAsiaTheme="majorEastAsia" w:hAnsiTheme="majorEastAsia"/>
        </w:rPr>
      </w:pPr>
      <w:r w:rsidRPr="004D1966">
        <w:rPr>
          <w:rFonts w:asciiTheme="majorEastAsia" w:eastAsiaTheme="majorEastAsia" w:hAnsiTheme="majorEastAsia" w:cs="Google Sans"/>
          <w:sz w:val="24"/>
          <w:szCs w:val="24"/>
        </w:rPr>
        <w:t xml:space="preserve">How does economic inactivity compare across advanced economies?, accessed on March 11, 2026, </w:t>
      </w:r>
      <w:hyperlink r:id="rId15">
        <w:r w:rsidRPr="004D1966">
          <w:rPr>
            <w:rFonts w:asciiTheme="majorEastAsia" w:eastAsiaTheme="majorEastAsia" w:hAnsiTheme="majorEastAsia" w:cs="Google Sans"/>
            <w:color w:val="0000EE"/>
            <w:sz w:val="24"/>
            <w:szCs w:val="24"/>
            <w:u w:val="single"/>
          </w:rPr>
          <w:t>https://obr.uk/box/how-does-economic-inactivity-compare-across-advanced-economies/</w:t>
        </w:r>
      </w:hyperlink>
    </w:p>
    <w:p w14:paraId="2917A466" w14:textId="77777777" w:rsidR="009B5916" w:rsidRPr="004D1966" w:rsidRDefault="00000000">
      <w:pPr>
        <w:numPr>
          <w:ilvl w:val="0"/>
          <w:numId w:val="5"/>
        </w:numPr>
        <w:pBdr>
          <w:top w:val="nil"/>
          <w:left w:val="nil"/>
          <w:bottom w:val="nil"/>
          <w:right w:val="nil"/>
          <w:between w:val="nil"/>
        </w:pBdr>
        <w:rPr>
          <w:rFonts w:asciiTheme="majorEastAsia" w:eastAsiaTheme="majorEastAsia" w:hAnsiTheme="majorEastAsia"/>
        </w:rPr>
      </w:pPr>
      <w:r w:rsidRPr="004D1966">
        <w:rPr>
          <w:rFonts w:asciiTheme="majorEastAsia" w:eastAsiaTheme="majorEastAsia" w:hAnsiTheme="majorEastAsia" w:cs="Google Sans"/>
          <w:sz w:val="24"/>
          <w:szCs w:val="24"/>
        </w:rPr>
        <w:t xml:space="preserve">Think tank calls for national reset on workforce health in 2025 - Lancaster University, accessed on March 11, 2026, </w:t>
      </w:r>
      <w:hyperlink r:id="rId16">
        <w:r w:rsidRPr="004D1966">
          <w:rPr>
            <w:rFonts w:asciiTheme="majorEastAsia" w:eastAsiaTheme="majorEastAsia" w:hAnsiTheme="majorEastAsia" w:cs="Google Sans"/>
            <w:color w:val="0000EE"/>
            <w:sz w:val="24"/>
            <w:szCs w:val="24"/>
            <w:u w:val="single"/>
          </w:rPr>
          <w:t>https://www.lancaster.ac.uk/news/think-tank-calls-for-national-reset-on-workforce-health-in-2025</w:t>
        </w:r>
      </w:hyperlink>
    </w:p>
    <w:p w14:paraId="0B0A9A6D" w14:textId="77777777" w:rsidR="009B5916" w:rsidRPr="004D1966" w:rsidRDefault="00000000">
      <w:pPr>
        <w:numPr>
          <w:ilvl w:val="0"/>
          <w:numId w:val="5"/>
        </w:numPr>
        <w:pBdr>
          <w:top w:val="nil"/>
          <w:left w:val="nil"/>
          <w:bottom w:val="nil"/>
          <w:right w:val="nil"/>
          <w:between w:val="nil"/>
        </w:pBdr>
        <w:rPr>
          <w:rFonts w:asciiTheme="majorEastAsia" w:eastAsiaTheme="majorEastAsia" w:hAnsiTheme="majorEastAsia"/>
        </w:rPr>
      </w:pPr>
      <w:r w:rsidRPr="004D1966">
        <w:rPr>
          <w:rFonts w:asciiTheme="majorEastAsia" w:eastAsiaTheme="majorEastAsia" w:hAnsiTheme="majorEastAsia" w:cs="Google Sans"/>
          <w:sz w:val="24"/>
          <w:szCs w:val="24"/>
        </w:rPr>
        <w:t xml:space="preserve">The Darzi investigation: what you need to know - NHS Confederation, accessed on March 11, 2026, </w:t>
      </w:r>
      <w:hyperlink r:id="rId17">
        <w:r w:rsidRPr="004D1966">
          <w:rPr>
            <w:rFonts w:asciiTheme="majorEastAsia" w:eastAsiaTheme="majorEastAsia" w:hAnsiTheme="majorEastAsia" w:cs="Google Sans"/>
            <w:color w:val="0000EE"/>
            <w:sz w:val="24"/>
            <w:szCs w:val="24"/>
            <w:u w:val="single"/>
          </w:rPr>
          <w:t>https://www.nhsconfed.org/publications/darzi-investigation</w:t>
        </w:r>
      </w:hyperlink>
    </w:p>
    <w:p w14:paraId="30D2F202" w14:textId="77777777" w:rsidR="009B5916" w:rsidRPr="004D1966" w:rsidRDefault="00000000">
      <w:pPr>
        <w:numPr>
          <w:ilvl w:val="0"/>
          <w:numId w:val="5"/>
        </w:numPr>
        <w:pBdr>
          <w:top w:val="nil"/>
          <w:left w:val="nil"/>
          <w:bottom w:val="nil"/>
          <w:right w:val="nil"/>
          <w:between w:val="nil"/>
        </w:pBdr>
        <w:rPr>
          <w:rFonts w:asciiTheme="majorEastAsia" w:eastAsiaTheme="majorEastAsia" w:hAnsiTheme="majorEastAsia"/>
        </w:rPr>
      </w:pPr>
      <w:r w:rsidRPr="004D1966">
        <w:rPr>
          <w:rFonts w:asciiTheme="majorEastAsia" w:eastAsiaTheme="majorEastAsia" w:hAnsiTheme="majorEastAsia" w:cs="Google Sans"/>
          <w:sz w:val="24"/>
          <w:szCs w:val="24"/>
        </w:rPr>
        <w:t xml:space="preserve">UK Healthcare NHS Report and Technology Opportunity 2024, accessed on March 11, 2026, </w:t>
      </w:r>
      <w:hyperlink r:id="rId18">
        <w:r w:rsidRPr="004D1966">
          <w:rPr>
            <w:rFonts w:asciiTheme="majorEastAsia" w:eastAsiaTheme="majorEastAsia" w:hAnsiTheme="majorEastAsia" w:cs="Google Sans"/>
            <w:color w:val="0000EE"/>
            <w:sz w:val="24"/>
            <w:szCs w:val="24"/>
            <w:u w:val="single"/>
          </w:rPr>
          <w:t>https://www.trade.gov/market-intelligence/uk-healthcare-nhs-report-and-technology-opportunity-2024</w:t>
        </w:r>
      </w:hyperlink>
    </w:p>
    <w:p w14:paraId="279B0939" w14:textId="77777777" w:rsidR="009B5916" w:rsidRPr="004D1966" w:rsidRDefault="00000000">
      <w:pPr>
        <w:numPr>
          <w:ilvl w:val="0"/>
          <w:numId w:val="5"/>
        </w:numPr>
        <w:pBdr>
          <w:top w:val="nil"/>
          <w:left w:val="nil"/>
          <w:bottom w:val="nil"/>
          <w:right w:val="nil"/>
          <w:between w:val="nil"/>
        </w:pBdr>
        <w:rPr>
          <w:rFonts w:asciiTheme="majorEastAsia" w:eastAsiaTheme="majorEastAsia" w:hAnsiTheme="majorEastAsia"/>
        </w:rPr>
      </w:pPr>
      <w:r w:rsidRPr="004D1966">
        <w:rPr>
          <w:rFonts w:asciiTheme="majorEastAsia" w:eastAsiaTheme="majorEastAsia" w:hAnsiTheme="majorEastAsia" w:cs="Google Sans"/>
          <w:sz w:val="24"/>
          <w:szCs w:val="24"/>
        </w:rPr>
        <w:t xml:space="preserve">The Darzi Review: A Critical Examination of the NHS - Policy Connect, accessed on March 11, 2026, </w:t>
      </w:r>
      <w:hyperlink r:id="rId19">
        <w:r w:rsidRPr="004D1966">
          <w:rPr>
            <w:rFonts w:asciiTheme="majorEastAsia" w:eastAsiaTheme="majorEastAsia" w:hAnsiTheme="majorEastAsia" w:cs="Google Sans"/>
            <w:color w:val="0000EE"/>
            <w:sz w:val="24"/>
            <w:szCs w:val="24"/>
            <w:u w:val="single"/>
          </w:rPr>
          <w:t>https://policyconnect.org.uk/blog/darzi-review-critical-examination-nhs/</w:t>
        </w:r>
      </w:hyperlink>
    </w:p>
    <w:p w14:paraId="01BDA907" w14:textId="77777777" w:rsidR="009B5916" w:rsidRPr="004D1966" w:rsidRDefault="00000000">
      <w:pPr>
        <w:numPr>
          <w:ilvl w:val="0"/>
          <w:numId w:val="5"/>
        </w:numPr>
        <w:pBdr>
          <w:top w:val="nil"/>
          <w:left w:val="nil"/>
          <w:bottom w:val="nil"/>
          <w:right w:val="nil"/>
          <w:between w:val="nil"/>
        </w:pBdr>
        <w:rPr>
          <w:rFonts w:asciiTheme="majorEastAsia" w:eastAsiaTheme="majorEastAsia" w:hAnsiTheme="majorEastAsia"/>
        </w:rPr>
      </w:pPr>
      <w:r w:rsidRPr="004D1966">
        <w:rPr>
          <w:rFonts w:asciiTheme="majorEastAsia" w:eastAsiaTheme="majorEastAsia" w:hAnsiTheme="majorEastAsia" w:cs="Google Sans"/>
          <w:sz w:val="24"/>
          <w:szCs w:val="24"/>
        </w:rPr>
        <w:t xml:space="preserve">The Darzi review: new technology funding for community-based care - Feedback Medical, accessed on March 11, 2026, </w:t>
      </w:r>
      <w:hyperlink r:id="rId20">
        <w:r w:rsidRPr="004D1966">
          <w:rPr>
            <w:rFonts w:asciiTheme="majorEastAsia" w:eastAsiaTheme="majorEastAsia" w:hAnsiTheme="majorEastAsia" w:cs="Google Sans"/>
            <w:color w:val="0000EE"/>
            <w:sz w:val="24"/>
            <w:szCs w:val="24"/>
            <w:u w:val="single"/>
          </w:rPr>
          <w:t>https://feedbackmedical.com/bleepa/the-darzi-review-new-funding-for-technology-to-enable-community-based-care/</w:t>
        </w:r>
      </w:hyperlink>
    </w:p>
    <w:p w14:paraId="640A126F" w14:textId="77777777" w:rsidR="009B5916" w:rsidRPr="004D1966" w:rsidRDefault="00000000">
      <w:pPr>
        <w:numPr>
          <w:ilvl w:val="0"/>
          <w:numId w:val="5"/>
        </w:numPr>
        <w:pBdr>
          <w:top w:val="nil"/>
          <w:left w:val="nil"/>
          <w:bottom w:val="nil"/>
          <w:right w:val="nil"/>
          <w:between w:val="nil"/>
        </w:pBdr>
        <w:rPr>
          <w:rFonts w:asciiTheme="majorEastAsia" w:eastAsiaTheme="majorEastAsia" w:hAnsiTheme="majorEastAsia"/>
        </w:rPr>
      </w:pPr>
      <w:r w:rsidRPr="004D1966">
        <w:rPr>
          <w:rFonts w:asciiTheme="majorEastAsia" w:eastAsiaTheme="majorEastAsia" w:hAnsiTheme="majorEastAsia" w:cs="Google Sans"/>
          <w:sz w:val="24"/>
          <w:szCs w:val="24"/>
        </w:rPr>
        <w:t xml:space="preserve">Fit for the future: 10 Year Health Plan for England - executive summary (accessible version), accessed on March 11, 2026, </w:t>
      </w:r>
      <w:hyperlink r:id="rId21">
        <w:r w:rsidRPr="004D1966">
          <w:rPr>
            <w:rFonts w:asciiTheme="majorEastAsia" w:eastAsiaTheme="majorEastAsia" w:hAnsiTheme="majorEastAsia" w:cs="Google Sans"/>
            <w:color w:val="0000EE"/>
            <w:sz w:val="24"/>
            <w:szCs w:val="24"/>
            <w:u w:val="single"/>
          </w:rPr>
          <w:t>https://www.gov.uk/government/publications/10-year-health-plan-for-england-fit-for-the-future/fit-for-the-future-10-year-health-plan-for-england-executive-summary</w:t>
        </w:r>
      </w:hyperlink>
    </w:p>
    <w:p w14:paraId="71722290" w14:textId="77777777" w:rsidR="009B5916" w:rsidRPr="004D1966" w:rsidRDefault="00000000">
      <w:pPr>
        <w:numPr>
          <w:ilvl w:val="0"/>
          <w:numId w:val="5"/>
        </w:numPr>
        <w:pBdr>
          <w:top w:val="nil"/>
          <w:left w:val="nil"/>
          <w:bottom w:val="nil"/>
          <w:right w:val="nil"/>
          <w:between w:val="nil"/>
        </w:pBdr>
        <w:rPr>
          <w:rFonts w:asciiTheme="majorEastAsia" w:eastAsiaTheme="majorEastAsia" w:hAnsiTheme="majorEastAsia"/>
        </w:rPr>
      </w:pPr>
      <w:r w:rsidRPr="004D1966">
        <w:rPr>
          <w:rFonts w:asciiTheme="majorEastAsia" w:eastAsiaTheme="majorEastAsia" w:hAnsiTheme="majorEastAsia" w:cs="Google Sans"/>
          <w:sz w:val="24"/>
          <w:szCs w:val="24"/>
        </w:rPr>
        <w:t xml:space="preserve">Single Patient Record: insights from public and market feedback - NHS England, accessed on March 11, 2026, </w:t>
      </w:r>
      <w:hyperlink r:id="rId22">
        <w:r w:rsidRPr="004D1966">
          <w:rPr>
            <w:rFonts w:asciiTheme="majorEastAsia" w:eastAsiaTheme="majorEastAsia" w:hAnsiTheme="majorEastAsia" w:cs="Google Sans"/>
            <w:color w:val="0000EE"/>
            <w:sz w:val="24"/>
            <w:szCs w:val="24"/>
            <w:u w:val="single"/>
          </w:rPr>
          <w:t>https://www.england.nhs.uk/blog/single-patient-record-insights-from-public-and-market-feedback/</w:t>
        </w:r>
      </w:hyperlink>
    </w:p>
    <w:p w14:paraId="42A4D0EB" w14:textId="77777777" w:rsidR="009B5916" w:rsidRPr="004D1966" w:rsidRDefault="00000000">
      <w:pPr>
        <w:numPr>
          <w:ilvl w:val="0"/>
          <w:numId w:val="5"/>
        </w:numPr>
        <w:pBdr>
          <w:top w:val="nil"/>
          <w:left w:val="nil"/>
          <w:bottom w:val="nil"/>
          <w:right w:val="nil"/>
          <w:between w:val="nil"/>
        </w:pBdr>
        <w:rPr>
          <w:rFonts w:asciiTheme="majorEastAsia" w:eastAsiaTheme="majorEastAsia" w:hAnsiTheme="majorEastAsia"/>
        </w:rPr>
      </w:pPr>
      <w:r w:rsidRPr="004D1966">
        <w:rPr>
          <w:rFonts w:asciiTheme="majorEastAsia" w:eastAsiaTheme="majorEastAsia" w:hAnsiTheme="majorEastAsia" w:cs="Google Sans"/>
          <w:sz w:val="24"/>
          <w:szCs w:val="24"/>
        </w:rPr>
        <w:t xml:space="preserve">Funding boost to support patients to stay in and return to work - GOV.UK, accessed on March 11, 2026, </w:t>
      </w:r>
      <w:hyperlink r:id="rId23">
        <w:r w:rsidRPr="004D1966">
          <w:rPr>
            <w:rFonts w:asciiTheme="majorEastAsia" w:eastAsiaTheme="majorEastAsia" w:hAnsiTheme="majorEastAsia" w:cs="Google Sans"/>
            <w:color w:val="0000EE"/>
            <w:sz w:val="24"/>
            <w:szCs w:val="24"/>
            <w:u w:val="single"/>
          </w:rPr>
          <w:t>https://www.gov.uk/government/news/funding-boost-to-support-patients-to-stay-in-and-return-to-work</w:t>
        </w:r>
      </w:hyperlink>
    </w:p>
    <w:p w14:paraId="47EFA2B5" w14:textId="77777777" w:rsidR="009B5916" w:rsidRPr="004D1966" w:rsidRDefault="00000000">
      <w:pPr>
        <w:numPr>
          <w:ilvl w:val="0"/>
          <w:numId w:val="5"/>
        </w:numPr>
        <w:pBdr>
          <w:top w:val="nil"/>
          <w:left w:val="nil"/>
          <w:bottom w:val="nil"/>
          <w:right w:val="nil"/>
          <w:between w:val="nil"/>
        </w:pBdr>
        <w:rPr>
          <w:rFonts w:asciiTheme="majorEastAsia" w:eastAsiaTheme="majorEastAsia" w:hAnsiTheme="majorEastAsia"/>
        </w:rPr>
      </w:pPr>
      <w:r w:rsidRPr="004D1966">
        <w:rPr>
          <w:rFonts w:asciiTheme="majorEastAsia" w:eastAsiaTheme="majorEastAsia" w:hAnsiTheme="majorEastAsia" w:cs="Google Sans"/>
          <w:sz w:val="24"/>
          <w:szCs w:val="24"/>
        </w:rPr>
        <w:t xml:space="preserve">Fit for the future: 10 Year Health Plan for England - The British Pain Society, accessed on March 11, 2026, </w:t>
      </w:r>
      <w:hyperlink r:id="rId24">
        <w:r w:rsidRPr="004D1966">
          <w:rPr>
            <w:rFonts w:asciiTheme="majorEastAsia" w:eastAsiaTheme="majorEastAsia" w:hAnsiTheme="majorEastAsia" w:cs="Google Sans"/>
            <w:color w:val="0000EE"/>
            <w:sz w:val="24"/>
            <w:szCs w:val="24"/>
            <w:u w:val="single"/>
          </w:rPr>
          <w:t>https://www.britishpainsociety.org/media/resources/files/fit-for-the-future-10-year-health-plan-for-england.pdf</w:t>
        </w:r>
      </w:hyperlink>
    </w:p>
    <w:p w14:paraId="4F41E3B4" w14:textId="77777777" w:rsidR="009B5916" w:rsidRPr="004D1966" w:rsidRDefault="00000000">
      <w:pPr>
        <w:numPr>
          <w:ilvl w:val="0"/>
          <w:numId w:val="5"/>
        </w:numPr>
        <w:pBdr>
          <w:top w:val="nil"/>
          <w:left w:val="nil"/>
          <w:bottom w:val="nil"/>
          <w:right w:val="nil"/>
          <w:between w:val="nil"/>
        </w:pBdr>
        <w:rPr>
          <w:rFonts w:asciiTheme="majorEastAsia" w:eastAsiaTheme="majorEastAsia" w:hAnsiTheme="majorEastAsia"/>
        </w:rPr>
      </w:pPr>
      <w:r w:rsidRPr="004D1966">
        <w:rPr>
          <w:rFonts w:asciiTheme="majorEastAsia" w:eastAsiaTheme="majorEastAsia" w:hAnsiTheme="majorEastAsia" w:cs="Google Sans"/>
          <w:sz w:val="24"/>
          <w:szCs w:val="24"/>
        </w:rPr>
        <w:t xml:space="preserve">Virtual wards enabled by technology: Guidance on selecting and procuring a technology platform - NHS England, accessed on March 11, 2026, </w:t>
      </w:r>
      <w:hyperlink r:id="rId25">
        <w:r w:rsidRPr="004D1966">
          <w:rPr>
            <w:rFonts w:asciiTheme="majorEastAsia" w:eastAsiaTheme="majorEastAsia" w:hAnsiTheme="majorEastAsia" w:cs="Google Sans"/>
            <w:color w:val="0000EE"/>
            <w:sz w:val="24"/>
            <w:szCs w:val="24"/>
            <w:u w:val="single"/>
          </w:rPr>
          <w:t>https://www.england.nhs.uk/long-read/virtual-wards-enabled-by-technology-guidance-on-selecting-and-procuring-a-technology-platform/</w:t>
        </w:r>
      </w:hyperlink>
    </w:p>
    <w:p w14:paraId="2DC94416" w14:textId="77777777" w:rsidR="009B5916" w:rsidRPr="004D1966" w:rsidRDefault="00000000">
      <w:pPr>
        <w:numPr>
          <w:ilvl w:val="0"/>
          <w:numId w:val="5"/>
        </w:numPr>
        <w:pBdr>
          <w:top w:val="nil"/>
          <w:left w:val="nil"/>
          <w:bottom w:val="nil"/>
          <w:right w:val="nil"/>
          <w:between w:val="nil"/>
        </w:pBdr>
        <w:rPr>
          <w:rFonts w:asciiTheme="majorEastAsia" w:eastAsiaTheme="majorEastAsia" w:hAnsiTheme="majorEastAsia"/>
        </w:rPr>
      </w:pPr>
      <w:r w:rsidRPr="004D1966">
        <w:rPr>
          <w:rFonts w:asciiTheme="majorEastAsia" w:eastAsiaTheme="majorEastAsia" w:hAnsiTheme="majorEastAsia" w:cs="Google Sans"/>
          <w:sz w:val="24"/>
          <w:szCs w:val="24"/>
        </w:rPr>
        <w:t xml:space="preserve">Deliver a Virtual Ward Future | Health - Access, accessed on March 11, 2026, </w:t>
      </w:r>
      <w:hyperlink r:id="rId26">
        <w:r w:rsidRPr="004D1966">
          <w:rPr>
            <w:rFonts w:asciiTheme="majorEastAsia" w:eastAsiaTheme="majorEastAsia" w:hAnsiTheme="majorEastAsia" w:cs="Google Sans"/>
            <w:color w:val="0000EE"/>
            <w:sz w:val="24"/>
            <w:szCs w:val="24"/>
            <w:u w:val="single"/>
          </w:rPr>
          <w:t>https://www.theaccessgroup.com/en-gb/health-social-care/healthcare-software/virtual-wards/</w:t>
        </w:r>
      </w:hyperlink>
    </w:p>
    <w:p w14:paraId="1D45D5B6" w14:textId="77777777" w:rsidR="009B5916" w:rsidRPr="004D1966" w:rsidRDefault="00000000">
      <w:pPr>
        <w:numPr>
          <w:ilvl w:val="0"/>
          <w:numId w:val="5"/>
        </w:numPr>
        <w:pBdr>
          <w:top w:val="nil"/>
          <w:left w:val="nil"/>
          <w:bottom w:val="nil"/>
          <w:right w:val="nil"/>
          <w:between w:val="nil"/>
        </w:pBdr>
        <w:rPr>
          <w:rFonts w:asciiTheme="majorEastAsia" w:eastAsiaTheme="majorEastAsia" w:hAnsiTheme="majorEastAsia"/>
        </w:rPr>
      </w:pPr>
      <w:r w:rsidRPr="004D1966">
        <w:rPr>
          <w:rFonts w:asciiTheme="majorEastAsia" w:eastAsiaTheme="majorEastAsia" w:hAnsiTheme="majorEastAsia" w:cs="Google Sans"/>
          <w:sz w:val="24"/>
          <w:szCs w:val="24"/>
        </w:rPr>
        <w:t xml:space="preserve">Virtual Ward Technologies, accessed on March 11, 2026, </w:t>
      </w:r>
      <w:hyperlink r:id="rId27">
        <w:r w:rsidRPr="004D1966">
          <w:rPr>
            <w:rFonts w:asciiTheme="majorEastAsia" w:eastAsiaTheme="majorEastAsia" w:hAnsiTheme="majorEastAsia" w:cs="Google Sans"/>
            <w:color w:val="0000EE"/>
            <w:sz w:val="24"/>
            <w:szCs w:val="24"/>
            <w:u w:val="single"/>
          </w:rPr>
          <w:t>https://www.virtualwardtechnologies.co.uk/</w:t>
        </w:r>
      </w:hyperlink>
    </w:p>
    <w:p w14:paraId="1B24792B" w14:textId="77777777" w:rsidR="009B5916" w:rsidRPr="004D1966" w:rsidRDefault="00000000">
      <w:pPr>
        <w:numPr>
          <w:ilvl w:val="0"/>
          <w:numId w:val="5"/>
        </w:numPr>
        <w:pBdr>
          <w:top w:val="nil"/>
          <w:left w:val="nil"/>
          <w:bottom w:val="nil"/>
          <w:right w:val="nil"/>
          <w:between w:val="nil"/>
        </w:pBdr>
        <w:rPr>
          <w:rFonts w:asciiTheme="majorEastAsia" w:eastAsiaTheme="majorEastAsia" w:hAnsiTheme="majorEastAsia"/>
        </w:rPr>
      </w:pPr>
      <w:r w:rsidRPr="004D1966">
        <w:rPr>
          <w:rFonts w:asciiTheme="majorEastAsia" w:eastAsiaTheme="majorEastAsia" w:hAnsiTheme="majorEastAsia" w:cs="Google Sans"/>
          <w:sz w:val="24"/>
          <w:szCs w:val="24"/>
        </w:rPr>
        <w:t xml:space="preserve">(PDF) Digital Health Trends 2024 Implications for Research and Patient Care, accessed on March 11, 2026, </w:t>
      </w:r>
      <w:hyperlink r:id="rId28">
        <w:r w:rsidRPr="004D1966">
          <w:rPr>
            <w:rFonts w:asciiTheme="majorEastAsia" w:eastAsiaTheme="majorEastAsia" w:hAnsiTheme="majorEastAsia" w:cs="Google Sans"/>
            <w:color w:val="0000EE"/>
            <w:sz w:val="24"/>
            <w:szCs w:val="24"/>
            <w:u w:val="single"/>
          </w:rPr>
          <w:t>https://www.researchgate.net/publication/388323724_Digital_Health_Trends_2024_Implications_for_Research_and_Patient_Care</w:t>
        </w:r>
      </w:hyperlink>
    </w:p>
    <w:p w14:paraId="61491620" w14:textId="77777777" w:rsidR="009B5916" w:rsidRPr="004D1966" w:rsidRDefault="00000000">
      <w:pPr>
        <w:numPr>
          <w:ilvl w:val="0"/>
          <w:numId w:val="5"/>
        </w:numPr>
        <w:pBdr>
          <w:top w:val="nil"/>
          <w:left w:val="nil"/>
          <w:bottom w:val="nil"/>
          <w:right w:val="nil"/>
          <w:between w:val="nil"/>
        </w:pBdr>
        <w:rPr>
          <w:rFonts w:asciiTheme="majorEastAsia" w:eastAsiaTheme="majorEastAsia" w:hAnsiTheme="majorEastAsia"/>
        </w:rPr>
      </w:pPr>
      <w:r w:rsidRPr="004D1966">
        <w:rPr>
          <w:rFonts w:asciiTheme="majorEastAsia" w:eastAsiaTheme="majorEastAsia" w:hAnsiTheme="majorEastAsia" w:cs="Google Sans"/>
          <w:sz w:val="24"/>
          <w:szCs w:val="24"/>
        </w:rPr>
        <w:t xml:space="preserve">Digital Health Trends 2024 Report | PDF | Medical Diagnosis - Scribd, accessed on March 11, 2026, </w:t>
      </w:r>
      <w:hyperlink r:id="rId29">
        <w:r w:rsidRPr="004D1966">
          <w:rPr>
            <w:rFonts w:asciiTheme="majorEastAsia" w:eastAsiaTheme="majorEastAsia" w:hAnsiTheme="majorEastAsia" w:cs="Google Sans"/>
            <w:color w:val="0000EE"/>
            <w:sz w:val="24"/>
            <w:szCs w:val="24"/>
            <w:u w:val="single"/>
          </w:rPr>
          <w:t>https://www.scribd.com/document/807361134/iqi-report-digital-health-2024-12-24-forweb</w:t>
        </w:r>
      </w:hyperlink>
    </w:p>
    <w:p w14:paraId="4BE2A99C" w14:textId="77777777" w:rsidR="009B5916" w:rsidRPr="004D1966" w:rsidRDefault="00000000">
      <w:pPr>
        <w:numPr>
          <w:ilvl w:val="0"/>
          <w:numId w:val="5"/>
        </w:numPr>
        <w:pBdr>
          <w:top w:val="nil"/>
          <w:left w:val="nil"/>
          <w:bottom w:val="nil"/>
          <w:right w:val="nil"/>
          <w:between w:val="nil"/>
        </w:pBdr>
        <w:rPr>
          <w:rFonts w:asciiTheme="majorEastAsia" w:eastAsiaTheme="majorEastAsia" w:hAnsiTheme="majorEastAsia"/>
        </w:rPr>
      </w:pPr>
      <w:r w:rsidRPr="004D1966">
        <w:rPr>
          <w:rFonts w:asciiTheme="majorEastAsia" w:eastAsiaTheme="majorEastAsia" w:hAnsiTheme="majorEastAsia" w:cs="Google Sans"/>
          <w:sz w:val="24"/>
          <w:szCs w:val="24"/>
        </w:rPr>
        <w:t xml:space="preserve">Evidence Brief: Virtual Wards - eWIN, accessed on March 11, 2026, </w:t>
      </w:r>
      <w:hyperlink r:id="rId30">
        <w:r w:rsidRPr="004D1966">
          <w:rPr>
            <w:rFonts w:asciiTheme="majorEastAsia" w:eastAsiaTheme="majorEastAsia" w:hAnsiTheme="majorEastAsia" w:cs="Google Sans"/>
            <w:color w:val="0000EE"/>
            <w:sz w:val="24"/>
            <w:szCs w:val="24"/>
            <w:u w:val="single"/>
          </w:rPr>
          <w:t>https://www.ewin.nhs.uk/sites/default/files/Virtual%20Wards_Evidence%20Brief.pdf</w:t>
        </w:r>
      </w:hyperlink>
    </w:p>
    <w:p w14:paraId="5191934C" w14:textId="77777777" w:rsidR="009B5916" w:rsidRPr="004D1966" w:rsidRDefault="00000000">
      <w:pPr>
        <w:numPr>
          <w:ilvl w:val="0"/>
          <w:numId w:val="5"/>
        </w:numPr>
        <w:pBdr>
          <w:top w:val="nil"/>
          <w:left w:val="nil"/>
          <w:bottom w:val="nil"/>
          <w:right w:val="nil"/>
          <w:between w:val="nil"/>
        </w:pBdr>
        <w:rPr>
          <w:rFonts w:asciiTheme="majorEastAsia" w:eastAsiaTheme="majorEastAsia" w:hAnsiTheme="majorEastAsia"/>
        </w:rPr>
      </w:pPr>
      <w:r w:rsidRPr="004D1966">
        <w:rPr>
          <w:rFonts w:asciiTheme="majorEastAsia" w:eastAsiaTheme="majorEastAsia" w:hAnsiTheme="majorEastAsia" w:cs="Google Sans"/>
          <w:sz w:val="24"/>
          <w:szCs w:val="24"/>
        </w:rPr>
        <w:t xml:space="preserve">Live streaming ward rounds using wearable technology to teach medical students: a pilot study - PMC, accessed on March 11, 2026, </w:t>
      </w:r>
      <w:hyperlink r:id="rId31">
        <w:r w:rsidRPr="004D1966">
          <w:rPr>
            <w:rFonts w:asciiTheme="majorEastAsia" w:eastAsiaTheme="majorEastAsia" w:hAnsiTheme="majorEastAsia" w:cs="Google Sans"/>
            <w:color w:val="0000EE"/>
            <w:sz w:val="24"/>
            <w:szCs w:val="24"/>
            <w:u w:val="single"/>
          </w:rPr>
          <w:t>https://pmc.ncbi.nlm.nih.gov/articles/PMC8154297/</w:t>
        </w:r>
      </w:hyperlink>
    </w:p>
    <w:p w14:paraId="58CCAB57" w14:textId="77777777" w:rsidR="009B5916" w:rsidRPr="004D1966" w:rsidRDefault="00000000">
      <w:pPr>
        <w:numPr>
          <w:ilvl w:val="0"/>
          <w:numId w:val="5"/>
        </w:numPr>
        <w:pBdr>
          <w:top w:val="nil"/>
          <w:left w:val="nil"/>
          <w:bottom w:val="nil"/>
          <w:right w:val="nil"/>
          <w:between w:val="nil"/>
        </w:pBdr>
        <w:rPr>
          <w:rFonts w:asciiTheme="majorEastAsia" w:eastAsiaTheme="majorEastAsia" w:hAnsiTheme="majorEastAsia"/>
        </w:rPr>
      </w:pPr>
      <w:r w:rsidRPr="004D1966">
        <w:rPr>
          <w:rFonts w:asciiTheme="majorEastAsia" w:eastAsiaTheme="majorEastAsia" w:hAnsiTheme="majorEastAsia" w:cs="Google Sans"/>
          <w:sz w:val="24"/>
          <w:szCs w:val="24"/>
        </w:rPr>
        <w:t xml:space="preserve">The Use of Wearable Technology in Employee Health and Wellness Programs, accessed on March 11, 2026, </w:t>
      </w:r>
      <w:hyperlink r:id="rId32">
        <w:r w:rsidRPr="004D1966">
          <w:rPr>
            <w:rFonts w:asciiTheme="majorEastAsia" w:eastAsiaTheme="majorEastAsia" w:hAnsiTheme="majorEastAsia" w:cs="Google Sans"/>
            <w:color w:val="0000EE"/>
            <w:sz w:val="24"/>
            <w:szCs w:val="24"/>
            <w:u w:val="single"/>
          </w:rPr>
          <w:t>https://www.higherechelon.com/use-wearable-technology-employee-health-wellness-programs/</w:t>
        </w:r>
      </w:hyperlink>
    </w:p>
    <w:p w14:paraId="3ED6158D" w14:textId="77777777" w:rsidR="009B5916" w:rsidRPr="004D1966" w:rsidRDefault="00000000">
      <w:pPr>
        <w:numPr>
          <w:ilvl w:val="0"/>
          <w:numId w:val="5"/>
        </w:numPr>
        <w:pBdr>
          <w:top w:val="nil"/>
          <w:left w:val="nil"/>
          <w:bottom w:val="nil"/>
          <w:right w:val="nil"/>
          <w:between w:val="nil"/>
        </w:pBdr>
        <w:rPr>
          <w:rFonts w:asciiTheme="majorEastAsia" w:eastAsiaTheme="majorEastAsia" w:hAnsiTheme="majorEastAsia"/>
        </w:rPr>
      </w:pPr>
      <w:r w:rsidRPr="004D1966">
        <w:rPr>
          <w:rFonts w:asciiTheme="majorEastAsia" w:eastAsiaTheme="majorEastAsia" w:hAnsiTheme="majorEastAsia" w:cs="Google Sans"/>
          <w:sz w:val="24"/>
          <w:szCs w:val="24"/>
        </w:rPr>
        <w:t xml:space="preserve">Smartwatches in healthcare medicine: assistance and monitoring; a scoping review - PMC, accessed on March 11, 2026, </w:t>
      </w:r>
      <w:hyperlink r:id="rId33">
        <w:r w:rsidRPr="004D1966">
          <w:rPr>
            <w:rFonts w:asciiTheme="majorEastAsia" w:eastAsiaTheme="majorEastAsia" w:hAnsiTheme="majorEastAsia" w:cs="Google Sans"/>
            <w:color w:val="0000EE"/>
            <w:sz w:val="24"/>
            <w:szCs w:val="24"/>
            <w:u w:val="single"/>
          </w:rPr>
          <w:t>https://pmc.ncbi.nlm.nih.gov/articles/PMC10625201/</w:t>
        </w:r>
      </w:hyperlink>
    </w:p>
    <w:p w14:paraId="3605A01C" w14:textId="77777777" w:rsidR="009B5916" w:rsidRPr="004D1966" w:rsidRDefault="00000000">
      <w:pPr>
        <w:numPr>
          <w:ilvl w:val="0"/>
          <w:numId w:val="5"/>
        </w:numPr>
        <w:pBdr>
          <w:top w:val="nil"/>
          <w:left w:val="nil"/>
          <w:bottom w:val="nil"/>
          <w:right w:val="nil"/>
          <w:between w:val="nil"/>
        </w:pBdr>
        <w:rPr>
          <w:rFonts w:asciiTheme="majorEastAsia" w:eastAsiaTheme="majorEastAsia" w:hAnsiTheme="majorEastAsia"/>
        </w:rPr>
      </w:pPr>
      <w:r w:rsidRPr="004D1966">
        <w:rPr>
          <w:rFonts w:asciiTheme="majorEastAsia" w:eastAsiaTheme="majorEastAsia" w:hAnsiTheme="majorEastAsia" w:cs="Google Sans"/>
          <w:sz w:val="24"/>
          <w:szCs w:val="24"/>
        </w:rPr>
        <w:t xml:space="preserve">Wearable Technology in the Management of Chronic Diseases: A Growing Concern - PMC, accessed on March 11, 2026, </w:t>
      </w:r>
      <w:hyperlink r:id="rId34">
        <w:r w:rsidRPr="004D1966">
          <w:rPr>
            <w:rFonts w:asciiTheme="majorEastAsia" w:eastAsiaTheme="majorEastAsia" w:hAnsiTheme="majorEastAsia" w:cs="Google Sans"/>
            <w:color w:val="0000EE"/>
            <w:sz w:val="24"/>
            <w:szCs w:val="24"/>
            <w:u w:val="single"/>
          </w:rPr>
          <w:t>https://pmc.ncbi.nlm.nih.gov/articles/PMC12142698/</w:t>
        </w:r>
      </w:hyperlink>
    </w:p>
    <w:p w14:paraId="10DC1C81" w14:textId="77777777" w:rsidR="009B5916" w:rsidRPr="004D1966" w:rsidRDefault="00000000">
      <w:pPr>
        <w:numPr>
          <w:ilvl w:val="0"/>
          <w:numId w:val="5"/>
        </w:numPr>
        <w:pBdr>
          <w:top w:val="nil"/>
          <w:left w:val="nil"/>
          <w:bottom w:val="nil"/>
          <w:right w:val="nil"/>
          <w:between w:val="nil"/>
        </w:pBdr>
        <w:rPr>
          <w:rFonts w:asciiTheme="majorEastAsia" w:eastAsiaTheme="majorEastAsia" w:hAnsiTheme="majorEastAsia"/>
        </w:rPr>
      </w:pPr>
      <w:r w:rsidRPr="004D1966">
        <w:rPr>
          <w:rFonts w:asciiTheme="majorEastAsia" w:eastAsiaTheme="majorEastAsia" w:hAnsiTheme="majorEastAsia" w:cs="Google Sans"/>
          <w:sz w:val="24"/>
          <w:szCs w:val="24"/>
        </w:rPr>
        <w:t xml:space="preserve">Wearable Sensors for Service Members and First Responders: Considerations for Using Commercially Available Sensors in Continuous Monitoring - NCBI, accessed on March 11, 2026, </w:t>
      </w:r>
      <w:hyperlink r:id="rId35">
        <w:r w:rsidRPr="004D1966">
          <w:rPr>
            <w:rFonts w:asciiTheme="majorEastAsia" w:eastAsiaTheme="majorEastAsia" w:hAnsiTheme="majorEastAsia" w:cs="Google Sans"/>
            <w:color w:val="0000EE"/>
            <w:sz w:val="24"/>
            <w:szCs w:val="24"/>
            <w:u w:val="single"/>
          </w:rPr>
          <w:t>https://www.ncbi.nlm.nih.gov/books/NBK602203/</w:t>
        </w:r>
      </w:hyperlink>
    </w:p>
    <w:p w14:paraId="673E3B88" w14:textId="77777777" w:rsidR="009B5916" w:rsidRPr="004D1966" w:rsidRDefault="00000000">
      <w:pPr>
        <w:numPr>
          <w:ilvl w:val="0"/>
          <w:numId w:val="5"/>
        </w:numPr>
        <w:pBdr>
          <w:top w:val="nil"/>
          <w:left w:val="nil"/>
          <w:bottom w:val="nil"/>
          <w:right w:val="nil"/>
          <w:between w:val="nil"/>
        </w:pBdr>
        <w:rPr>
          <w:rFonts w:asciiTheme="majorEastAsia" w:eastAsiaTheme="majorEastAsia" w:hAnsiTheme="majorEastAsia"/>
        </w:rPr>
      </w:pPr>
      <w:r w:rsidRPr="004D1966">
        <w:rPr>
          <w:rFonts w:asciiTheme="majorEastAsia" w:eastAsiaTheme="majorEastAsia" w:hAnsiTheme="majorEastAsia" w:cs="Google Sans"/>
          <w:sz w:val="24"/>
          <w:szCs w:val="24"/>
        </w:rPr>
        <w:t xml:space="preserve">Wearable Sensors for Service Members &amp; First Responders - RTI International, accessed on March 11, 2026, </w:t>
      </w:r>
      <w:hyperlink r:id="rId36">
        <w:r w:rsidRPr="004D1966">
          <w:rPr>
            <w:rFonts w:asciiTheme="majorEastAsia" w:eastAsiaTheme="majorEastAsia" w:hAnsiTheme="majorEastAsia" w:cs="Google Sans"/>
            <w:color w:val="0000EE"/>
            <w:sz w:val="24"/>
            <w:szCs w:val="24"/>
            <w:u w:val="single"/>
          </w:rPr>
          <w:t>https://www.rti.org/rti-press-publication/wearable-sensors-service-members-first-responders-considerations-using-commercially-available-sensor</w:t>
        </w:r>
      </w:hyperlink>
    </w:p>
    <w:p w14:paraId="597EB2DC" w14:textId="77777777" w:rsidR="009B5916" w:rsidRPr="004D1966" w:rsidRDefault="00000000">
      <w:pPr>
        <w:numPr>
          <w:ilvl w:val="0"/>
          <w:numId w:val="5"/>
        </w:numPr>
        <w:pBdr>
          <w:top w:val="nil"/>
          <w:left w:val="nil"/>
          <w:bottom w:val="nil"/>
          <w:right w:val="nil"/>
          <w:between w:val="nil"/>
        </w:pBdr>
        <w:rPr>
          <w:rFonts w:asciiTheme="majorEastAsia" w:eastAsiaTheme="majorEastAsia" w:hAnsiTheme="majorEastAsia"/>
        </w:rPr>
      </w:pPr>
      <w:r w:rsidRPr="004D1966">
        <w:rPr>
          <w:rFonts w:asciiTheme="majorEastAsia" w:eastAsiaTheme="majorEastAsia" w:hAnsiTheme="majorEastAsia" w:cs="Google Sans"/>
          <w:sz w:val="24"/>
          <w:szCs w:val="24"/>
        </w:rPr>
        <w:t xml:space="preserve">Advancements in Wearable Sensor Technologies for Health Monitoring in Terms of Clinical Applications, Rehabilitation, and Disease Risk Assessment: Systematic Review, accessed on March 11, 2026, </w:t>
      </w:r>
      <w:hyperlink r:id="rId37">
        <w:r w:rsidRPr="004D1966">
          <w:rPr>
            <w:rFonts w:asciiTheme="majorEastAsia" w:eastAsiaTheme="majorEastAsia" w:hAnsiTheme="majorEastAsia" w:cs="Google Sans"/>
            <w:color w:val="0000EE"/>
            <w:sz w:val="24"/>
            <w:szCs w:val="24"/>
            <w:u w:val="single"/>
          </w:rPr>
          <w:t>https://mhealth.jmir.org/2026/1/e76084</w:t>
        </w:r>
      </w:hyperlink>
    </w:p>
    <w:p w14:paraId="6CA095AF" w14:textId="77777777" w:rsidR="009B5916" w:rsidRPr="004D1966" w:rsidRDefault="00000000">
      <w:pPr>
        <w:numPr>
          <w:ilvl w:val="0"/>
          <w:numId w:val="5"/>
        </w:numPr>
        <w:pBdr>
          <w:top w:val="nil"/>
          <w:left w:val="nil"/>
          <w:bottom w:val="nil"/>
          <w:right w:val="nil"/>
          <w:between w:val="nil"/>
        </w:pBdr>
        <w:rPr>
          <w:rFonts w:asciiTheme="majorEastAsia" w:eastAsiaTheme="majorEastAsia" w:hAnsiTheme="majorEastAsia"/>
        </w:rPr>
      </w:pPr>
      <w:r w:rsidRPr="004D1966">
        <w:rPr>
          <w:rFonts w:asciiTheme="majorEastAsia" w:eastAsiaTheme="majorEastAsia" w:hAnsiTheme="majorEastAsia" w:cs="Google Sans"/>
          <w:sz w:val="24"/>
          <w:szCs w:val="24"/>
        </w:rPr>
        <w:t xml:space="preserve">Advancing Occupational Medicine through Wearable Technology: A Review of Sensor Systems for Biomechanical Risk Assessment and Work-Related Musculoskeletal Disorder Prevention - PMC, accessed on March 11, 2026, </w:t>
      </w:r>
      <w:hyperlink r:id="rId38">
        <w:r w:rsidRPr="004D1966">
          <w:rPr>
            <w:rFonts w:asciiTheme="majorEastAsia" w:eastAsiaTheme="majorEastAsia" w:hAnsiTheme="majorEastAsia" w:cs="Google Sans"/>
            <w:color w:val="0000EE"/>
            <w:sz w:val="24"/>
            <w:szCs w:val="24"/>
            <w:u w:val="single"/>
          </w:rPr>
          <w:t>https://pmc.ncbi.nlm.nih.gov/articles/PMC12379187/</w:t>
        </w:r>
      </w:hyperlink>
    </w:p>
    <w:p w14:paraId="679B4CC3" w14:textId="77777777" w:rsidR="009B5916" w:rsidRPr="004D1966" w:rsidRDefault="00000000">
      <w:pPr>
        <w:numPr>
          <w:ilvl w:val="0"/>
          <w:numId w:val="5"/>
        </w:numPr>
        <w:pBdr>
          <w:top w:val="nil"/>
          <w:left w:val="nil"/>
          <w:bottom w:val="nil"/>
          <w:right w:val="nil"/>
          <w:between w:val="nil"/>
        </w:pBdr>
        <w:rPr>
          <w:rFonts w:asciiTheme="majorEastAsia" w:eastAsiaTheme="majorEastAsia" w:hAnsiTheme="majorEastAsia"/>
        </w:rPr>
      </w:pPr>
      <w:r w:rsidRPr="004D1966">
        <w:rPr>
          <w:rFonts w:asciiTheme="majorEastAsia" w:eastAsiaTheme="majorEastAsia" w:hAnsiTheme="majorEastAsia" w:cs="Google Sans"/>
          <w:sz w:val="24"/>
          <w:szCs w:val="24"/>
        </w:rPr>
        <w:t xml:space="preserve">Wearables in Healthcare Organizations: Implications for Occupational Health, Organizational Performance, and Economic Outcomes - PMC, accessed on March 11, 2026, </w:t>
      </w:r>
      <w:hyperlink r:id="rId39">
        <w:r w:rsidRPr="004D1966">
          <w:rPr>
            <w:rFonts w:asciiTheme="majorEastAsia" w:eastAsiaTheme="majorEastAsia" w:hAnsiTheme="majorEastAsia" w:cs="Google Sans"/>
            <w:color w:val="0000EE"/>
            <w:sz w:val="24"/>
            <w:szCs w:val="24"/>
            <w:u w:val="single"/>
          </w:rPr>
          <w:t>https://pmc.ncbi.nlm.nih.gov/articles/PMC12470153/</w:t>
        </w:r>
      </w:hyperlink>
    </w:p>
    <w:p w14:paraId="4BDCCE26" w14:textId="77777777" w:rsidR="009B5916" w:rsidRPr="004D1966" w:rsidRDefault="00000000">
      <w:pPr>
        <w:numPr>
          <w:ilvl w:val="0"/>
          <w:numId w:val="5"/>
        </w:numPr>
        <w:pBdr>
          <w:top w:val="nil"/>
          <w:left w:val="nil"/>
          <w:bottom w:val="nil"/>
          <w:right w:val="nil"/>
          <w:between w:val="nil"/>
        </w:pBdr>
        <w:rPr>
          <w:rFonts w:asciiTheme="majorEastAsia" w:eastAsiaTheme="majorEastAsia" w:hAnsiTheme="majorEastAsia"/>
        </w:rPr>
      </w:pPr>
      <w:r w:rsidRPr="004D1966">
        <w:rPr>
          <w:rFonts w:asciiTheme="majorEastAsia" w:eastAsiaTheme="majorEastAsia" w:hAnsiTheme="majorEastAsia" w:cs="Google Sans"/>
          <w:sz w:val="24"/>
          <w:szCs w:val="24"/>
        </w:rPr>
        <w:t xml:space="preserve">DorsaVI - Wearable Sensor Technology and AI Motion analysis, accessed on March 11, 2026, </w:t>
      </w:r>
      <w:hyperlink r:id="rId40">
        <w:r w:rsidRPr="004D1966">
          <w:rPr>
            <w:rFonts w:asciiTheme="majorEastAsia" w:eastAsiaTheme="majorEastAsia" w:hAnsiTheme="majorEastAsia" w:cs="Google Sans"/>
            <w:color w:val="0000EE"/>
            <w:sz w:val="24"/>
            <w:szCs w:val="24"/>
            <w:u w:val="single"/>
          </w:rPr>
          <w:t>https://dorsavi.com/</w:t>
        </w:r>
      </w:hyperlink>
    </w:p>
    <w:p w14:paraId="70DD6490" w14:textId="77777777" w:rsidR="009B5916" w:rsidRPr="004D1966" w:rsidRDefault="00000000">
      <w:pPr>
        <w:numPr>
          <w:ilvl w:val="0"/>
          <w:numId w:val="5"/>
        </w:numPr>
        <w:pBdr>
          <w:top w:val="nil"/>
          <w:left w:val="nil"/>
          <w:bottom w:val="nil"/>
          <w:right w:val="nil"/>
          <w:between w:val="nil"/>
        </w:pBdr>
        <w:rPr>
          <w:rFonts w:asciiTheme="majorEastAsia" w:eastAsiaTheme="majorEastAsia" w:hAnsiTheme="majorEastAsia"/>
        </w:rPr>
      </w:pPr>
      <w:r w:rsidRPr="004D1966">
        <w:rPr>
          <w:rFonts w:asciiTheme="majorEastAsia" w:eastAsiaTheme="majorEastAsia" w:hAnsiTheme="majorEastAsia" w:cs="Google Sans"/>
          <w:sz w:val="24"/>
          <w:szCs w:val="24"/>
        </w:rPr>
        <w:t xml:space="preserve">Wearable Motion Capture Devices for the Prevention of Work-Related Musculoskeletal Disorders in Ergonomics—An Overview of Current Applications, Challenges, and Future Opportunities - MDPI, accessed on March 11, 2026, </w:t>
      </w:r>
      <w:hyperlink r:id="rId41">
        <w:r w:rsidRPr="004D1966">
          <w:rPr>
            <w:rFonts w:asciiTheme="majorEastAsia" w:eastAsiaTheme="majorEastAsia" w:hAnsiTheme="majorEastAsia" w:cs="Google Sans"/>
            <w:color w:val="0000EE"/>
            <w:sz w:val="24"/>
            <w:szCs w:val="24"/>
            <w:u w:val="single"/>
          </w:rPr>
          <w:t>https://www.mdpi.com/1424-8220/23/9/4259</w:t>
        </w:r>
      </w:hyperlink>
    </w:p>
    <w:p w14:paraId="7867E391" w14:textId="77777777" w:rsidR="009B5916" w:rsidRPr="004D1966" w:rsidRDefault="00000000">
      <w:pPr>
        <w:numPr>
          <w:ilvl w:val="0"/>
          <w:numId w:val="5"/>
        </w:numPr>
        <w:pBdr>
          <w:top w:val="nil"/>
          <w:left w:val="nil"/>
          <w:bottom w:val="nil"/>
          <w:right w:val="nil"/>
          <w:between w:val="nil"/>
        </w:pBdr>
        <w:rPr>
          <w:rFonts w:asciiTheme="majorEastAsia" w:eastAsiaTheme="majorEastAsia" w:hAnsiTheme="majorEastAsia"/>
        </w:rPr>
      </w:pPr>
      <w:r w:rsidRPr="004D1966">
        <w:rPr>
          <w:rFonts w:asciiTheme="majorEastAsia" w:eastAsiaTheme="majorEastAsia" w:hAnsiTheme="majorEastAsia" w:cs="Google Sans"/>
          <w:sz w:val="24"/>
          <w:szCs w:val="24"/>
        </w:rPr>
        <w:t xml:space="preserve">Artificial Intelligence and Occupational Health and Safety, Benefits and Drawbacks - PMC, accessed on March 11, 2026, </w:t>
      </w:r>
      <w:hyperlink r:id="rId42">
        <w:r w:rsidRPr="004D1966">
          <w:rPr>
            <w:rFonts w:asciiTheme="majorEastAsia" w:eastAsiaTheme="majorEastAsia" w:hAnsiTheme="majorEastAsia" w:cs="Google Sans"/>
            <w:color w:val="0000EE"/>
            <w:sz w:val="24"/>
            <w:szCs w:val="24"/>
            <w:u w:val="single"/>
          </w:rPr>
          <w:t>https://pmc.ncbi.nlm.nih.gov/articles/PMC11181216/</w:t>
        </w:r>
      </w:hyperlink>
    </w:p>
    <w:p w14:paraId="44922A3C" w14:textId="77777777" w:rsidR="009B5916" w:rsidRPr="004D1966" w:rsidRDefault="00000000">
      <w:pPr>
        <w:numPr>
          <w:ilvl w:val="0"/>
          <w:numId w:val="5"/>
        </w:numPr>
        <w:pBdr>
          <w:top w:val="nil"/>
          <w:left w:val="nil"/>
          <w:bottom w:val="nil"/>
          <w:right w:val="nil"/>
          <w:between w:val="nil"/>
        </w:pBdr>
        <w:rPr>
          <w:rFonts w:asciiTheme="majorEastAsia" w:eastAsiaTheme="majorEastAsia" w:hAnsiTheme="majorEastAsia"/>
        </w:rPr>
      </w:pPr>
      <w:r w:rsidRPr="004D1966">
        <w:rPr>
          <w:rFonts w:asciiTheme="majorEastAsia" w:eastAsiaTheme="majorEastAsia" w:hAnsiTheme="majorEastAsia" w:cs="Google Sans"/>
          <w:sz w:val="24"/>
          <w:szCs w:val="24"/>
        </w:rPr>
        <w:t xml:space="preserve">The Use of Wearable Systems for Assessing Work-Related Risks Related to the Musculoskeletal System—A Systematic Review - PMC, accessed on March 11, 2026, </w:t>
      </w:r>
      <w:hyperlink r:id="rId43">
        <w:r w:rsidRPr="004D1966">
          <w:rPr>
            <w:rFonts w:asciiTheme="majorEastAsia" w:eastAsiaTheme="majorEastAsia" w:hAnsiTheme="majorEastAsia" w:cs="Google Sans"/>
            <w:color w:val="0000EE"/>
            <w:sz w:val="24"/>
            <w:szCs w:val="24"/>
            <w:u w:val="single"/>
          </w:rPr>
          <w:t>https://pmc.ncbi.nlm.nih.gov/articles/PMC11675614/</w:t>
        </w:r>
      </w:hyperlink>
    </w:p>
    <w:p w14:paraId="366B23AD" w14:textId="77777777" w:rsidR="009B5916" w:rsidRPr="004D1966" w:rsidRDefault="00000000">
      <w:pPr>
        <w:numPr>
          <w:ilvl w:val="0"/>
          <w:numId w:val="5"/>
        </w:numPr>
        <w:pBdr>
          <w:top w:val="nil"/>
          <w:left w:val="nil"/>
          <w:bottom w:val="nil"/>
          <w:right w:val="nil"/>
          <w:between w:val="nil"/>
        </w:pBdr>
        <w:rPr>
          <w:rFonts w:asciiTheme="majorEastAsia" w:eastAsiaTheme="majorEastAsia" w:hAnsiTheme="majorEastAsia"/>
        </w:rPr>
      </w:pPr>
      <w:r w:rsidRPr="004D1966">
        <w:rPr>
          <w:rFonts w:asciiTheme="majorEastAsia" w:eastAsiaTheme="majorEastAsia" w:hAnsiTheme="majorEastAsia" w:cs="Google Sans"/>
          <w:sz w:val="24"/>
          <w:szCs w:val="24"/>
        </w:rPr>
        <w:t xml:space="preserve">AI-powered wearables: transforming workplace health and safety, accessed on March 11, 2026, </w:t>
      </w:r>
      <w:hyperlink r:id="rId44">
        <w:r w:rsidRPr="004D1966">
          <w:rPr>
            <w:rFonts w:asciiTheme="majorEastAsia" w:eastAsiaTheme="majorEastAsia" w:hAnsiTheme="majorEastAsia" w:cs="Google Sans"/>
            <w:color w:val="0000EE"/>
            <w:sz w:val="24"/>
            <w:szCs w:val="24"/>
            <w:u w:val="single"/>
          </w:rPr>
          <w:t>https://www.britsafe.org/safety-management/2025/ai-powered-wearables-transforming-workplace-health-and-safety</w:t>
        </w:r>
      </w:hyperlink>
    </w:p>
    <w:p w14:paraId="4744828F" w14:textId="77777777" w:rsidR="009B5916" w:rsidRPr="004D1966" w:rsidRDefault="00000000">
      <w:pPr>
        <w:numPr>
          <w:ilvl w:val="0"/>
          <w:numId w:val="5"/>
        </w:numPr>
        <w:pBdr>
          <w:top w:val="nil"/>
          <w:left w:val="nil"/>
          <w:bottom w:val="nil"/>
          <w:right w:val="nil"/>
          <w:between w:val="nil"/>
        </w:pBdr>
        <w:rPr>
          <w:rFonts w:asciiTheme="majorEastAsia" w:eastAsiaTheme="majorEastAsia" w:hAnsiTheme="majorEastAsia"/>
        </w:rPr>
      </w:pPr>
      <w:r w:rsidRPr="004D1966">
        <w:rPr>
          <w:rFonts w:asciiTheme="majorEastAsia" w:eastAsiaTheme="majorEastAsia" w:hAnsiTheme="majorEastAsia" w:cs="Google Sans"/>
          <w:sz w:val="24"/>
          <w:szCs w:val="24"/>
        </w:rPr>
        <w:t xml:space="preserve">A Comprehensive Survey on Wearable Computing for Mental and Physical Health Monitoring - MDPI, accessed on March 11, 2026, </w:t>
      </w:r>
      <w:hyperlink r:id="rId45">
        <w:r w:rsidRPr="004D1966">
          <w:rPr>
            <w:rFonts w:asciiTheme="majorEastAsia" w:eastAsiaTheme="majorEastAsia" w:hAnsiTheme="majorEastAsia" w:cs="Google Sans"/>
            <w:color w:val="0000EE"/>
            <w:sz w:val="24"/>
            <w:szCs w:val="24"/>
            <w:u w:val="single"/>
          </w:rPr>
          <w:t>https://www.mdpi.com/2079-9292/14/17/3443</w:t>
        </w:r>
      </w:hyperlink>
    </w:p>
    <w:p w14:paraId="2A517234" w14:textId="77777777" w:rsidR="009B5916" w:rsidRPr="004D1966" w:rsidRDefault="00000000">
      <w:pPr>
        <w:numPr>
          <w:ilvl w:val="0"/>
          <w:numId w:val="5"/>
        </w:numPr>
        <w:pBdr>
          <w:top w:val="nil"/>
          <w:left w:val="nil"/>
          <w:bottom w:val="nil"/>
          <w:right w:val="nil"/>
          <w:between w:val="nil"/>
        </w:pBdr>
        <w:rPr>
          <w:rFonts w:asciiTheme="majorEastAsia" w:eastAsiaTheme="majorEastAsia" w:hAnsiTheme="majorEastAsia"/>
        </w:rPr>
      </w:pPr>
      <w:r w:rsidRPr="004D1966">
        <w:rPr>
          <w:rFonts w:asciiTheme="majorEastAsia" w:eastAsiaTheme="majorEastAsia" w:hAnsiTheme="majorEastAsia" w:cs="Google Sans"/>
          <w:sz w:val="24"/>
          <w:szCs w:val="24"/>
        </w:rPr>
        <w:t xml:space="preserve">The Use of Sensors to Detect Anxiety for In-the-Moment Intervention: Scoping Review, accessed on March 11, 2026, </w:t>
      </w:r>
      <w:hyperlink r:id="rId46">
        <w:r w:rsidRPr="004D1966">
          <w:rPr>
            <w:rFonts w:asciiTheme="majorEastAsia" w:eastAsiaTheme="majorEastAsia" w:hAnsiTheme="majorEastAsia" w:cs="Google Sans"/>
            <w:color w:val="0000EE"/>
            <w:sz w:val="24"/>
            <w:szCs w:val="24"/>
            <w:u w:val="single"/>
          </w:rPr>
          <w:t>https://mental.jmir.org/2023/1/e42611</w:t>
        </w:r>
      </w:hyperlink>
    </w:p>
    <w:p w14:paraId="11970EF5" w14:textId="77777777" w:rsidR="009B5916" w:rsidRPr="004D1966" w:rsidRDefault="00000000">
      <w:pPr>
        <w:numPr>
          <w:ilvl w:val="0"/>
          <w:numId w:val="5"/>
        </w:numPr>
        <w:pBdr>
          <w:top w:val="nil"/>
          <w:left w:val="nil"/>
          <w:bottom w:val="nil"/>
          <w:right w:val="nil"/>
          <w:between w:val="nil"/>
        </w:pBdr>
        <w:rPr>
          <w:rFonts w:asciiTheme="majorEastAsia" w:eastAsiaTheme="majorEastAsia" w:hAnsiTheme="majorEastAsia"/>
        </w:rPr>
      </w:pPr>
      <w:r w:rsidRPr="004D1966">
        <w:rPr>
          <w:rFonts w:asciiTheme="majorEastAsia" w:eastAsiaTheme="majorEastAsia" w:hAnsiTheme="majorEastAsia" w:cs="Google Sans"/>
          <w:sz w:val="24"/>
          <w:szCs w:val="24"/>
        </w:rPr>
        <w:t xml:space="preserve">How wearable technology is transforming wellbeing in the workplace - JLL, accessed on March 11, 2026, </w:t>
      </w:r>
      <w:hyperlink r:id="rId47">
        <w:r w:rsidRPr="004D1966">
          <w:rPr>
            <w:rFonts w:asciiTheme="majorEastAsia" w:eastAsiaTheme="majorEastAsia" w:hAnsiTheme="majorEastAsia" w:cs="Google Sans"/>
            <w:color w:val="0000EE"/>
            <w:sz w:val="24"/>
            <w:szCs w:val="24"/>
            <w:u w:val="single"/>
          </w:rPr>
          <w:t>https://www.jll.com/en-us/insights/how-wearable-technology-is-transforming-wellbeing-in-the-workplace</w:t>
        </w:r>
      </w:hyperlink>
    </w:p>
    <w:p w14:paraId="6B258D37" w14:textId="77777777" w:rsidR="009B5916" w:rsidRPr="004D1966" w:rsidRDefault="00000000">
      <w:pPr>
        <w:numPr>
          <w:ilvl w:val="0"/>
          <w:numId w:val="5"/>
        </w:numPr>
        <w:pBdr>
          <w:top w:val="nil"/>
          <w:left w:val="nil"/>
          <w:bottom w:val="nil"/>
          <w:right w:val="nil"/>
          <w:between w:val="nil"/>
        </w:pBdr>
        <w:rPr>
          <w:rFonts w:asciiTheme="majorEastAsia" w:eastAsiaTheme="majorEastAsia" w:hAnsiTheme="majorEastAsia"/>
        </w:rPr>
      </w:pPr>
      <w:r w:rsidRPr="004D1966">
        <w:rPr>
          <w:rFonts w:asciiTheme="majorEastAsia" w:eastAsiaTheme="majorEastAsia" w:hAnsiTheme="majorEastAsia" w:cs="Google Sans"/>
          <w:sz w:val="24"/>
          <w:szCs w:val="24"/>
        </w:rPr>
        <w:t xml:space="preserve">How Wearable Technology Can Promote Health, accessed on March 11, 2026, </w:t>
      </w:r>
      <w:hyperlink r:id="rId48">
        <w:r w:rsidRPr="004D1966">
          <w:rPr>
            <w:rFonts w:asciiTheme="majorEastAsia" w:eastAsiaTheme="majorEastAsia" w:hAnsiTheme="majorEastAsia" w:cs="Google Sans"/>
            <w:color w:val="0000EE"/>
            <w:sz w:val="24"/>
            <w:szCs w:val="24"/>
            <w:u w:val="single"/>
          </w:rPr>
          <w:t>https://www.ihrim.org/2023/08/how-wearable-technology-can-promote-health/</w:t>
        </w:r>
      </w:hyperlink>
    </w:p>
    <w:p w14:paraId="1AA76A5F" w14:textId="77777777" w:rsidR="009B5916" w:rsidRPr="004D1966" w:rsidRDefault="00000000">
      <w:pPr>
        <w:numPr>
          <w:ilvl w:val="0"/>
          <w:numId w:val="5"/>
        </w:numPr>
        <w:pBdr>
          <w:top w:val="nil"/>
          <w:left w:val="nil"/>
          <w:bottom w:val="nil"/>
          <w:right w:val="nil"/>
          <w:between w:val="nil"/>
        </w:pBdr>
        <w:rPr>
          <w:rFonts w:asciiTheme="majorEastAsia" w:eastAsiaTheme="majorEastAsia" w:hAnsiTheme="majorEastAsia"/>
        </w:rPr>
      </w:pPr>
      <w:r w:rsidRPr="004D1966">
        <w:rPr>
          <w:rFonts w:asciiTheme="majorEastAsia" w:eastAsiaTheme="majorEastAsia" w:hAnsiTheme="majorEastAsia" w:cs="Google Sans"/>
          <w:sz w:val="24"/>
          <w:szCs w:val="24"/>
        </w:rPr>
        <w:t xml:space="preserve">What role do wearable health monitoring devices play in preventing chronic diseases, and what studies support their effectiveness?, accessed on March 11, 2026, </w:t>
      </w:r>
      <w:hyperlink r:id="rId49">
        <w:r w:rsidRPr="004D1966">
          <w:rPr>
            <w:rFonts w:asciiTheme="majorEastAsia" w:eastAsiaTheme="majorEastAsia" w:hAnsiTheme="majorEastAsia" w:cs="Google Sans"/>
            <w:color w:val="0000EE"/>
            <w:sz w:val="24"/>
            <w:szCs w:val="24"/>
            <w:u w:val="single"/>
          </w:rPr>
          <w:t>https://blogs.psico-smart.com/blog-what-role-do-wearable-health-monitoring-devices-play-in-preventing-chr-185695</w:t>
        </w:r>
      </w:hyperlink>
    </w:p>
    <w:sectPr w:rsidR="009B5916" w:rsidRPr="004D1966">
      <w:pgSz w:w="12240" w:h="15840"/>
      <w:pgMar w:top="1440" w:right="1440" w:bottom="1440" w:left="1440" w:header="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맑은 고딕">
    <w:panose1 w:val="020B0503020000020004"/>
    <w:charset w:val="81"/>
    <w:family w:val="modern"/>
    <w:pitch w:val="variable"/>
    <w:sig w:usb0="9000002F" w:usb1="29D77CFB" w:usb2="00000012" w:usb3="00000000" w:csb0="00080001" w:csb1="00000000"/>
    <w:embedRegular r:id="rId1" w:subsetted="1" w:fontKey="{EA98DDAE-366F-4C80-B69B-2331DC2CBD72}"/>
    <w:embedBold r:id="rId2" w:subsetted="1" w:fontKey="{A2F47B52-1345-41F3-A703-7044D66C8D96}"/>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embedItalic r:id="rId3" w:fontKey="{711ED7F8-17EC-4934-BB8C-F2EC03B4F98A}"/>
  </w:font>
  <w:font w:name="Google Sans">
    <w:charset w:val="00"/>
    <w:family w:val="auto"/>
    <w:pitch w:val="default"/>
    <w:embedRegular r:id="rId4" w:fontKey="{A3FF77D1-E34B-4D4A-9D2A-5F7F91E69AEF}"/>
    <w:embedBold r:id="rId5" w:fontKey="{6C491081-1BB3-4897-A76E-487E7BA085C9}"/>
  </w:font>
  <w:font w:name="Segoe UI Symbol">
    <w:panose1 w:val="020B0502040204020203"/>
    <w:charset w:val="00"/>
    <w:family w:val="swiss"/>
    <w:pitch w:val="variable"/>
    <w:sig w:usb0="800001E3" w:usb1="1200FFEF" w:usb2="00040000" w:usb3="00000000" w:csb0="00000001" w:csb1="00000000"/>
    <w:embedBold r:id="rId6" w:fontKey="{68027275-9BF5-450E-A9A8-935F63A41E7C}"/>
  </w:font>
  <w:font w:name="Segoe UI Emoji">
    <w:panose1 w:val="020B0502040204020203"/>
    <w:charset w:val="00"/>
    <w:family w:val="swiss"/>
    <w:pitch w:val="variable"/>
    <w:sig w:usb0="00000003" w:usb1="02000000" w:usb2="08000000" w:usb3="00000000" w:csb0="00000001" w:csb1="00000000"/>
    <w:embedRegular r:id="rId7" w:fontKey="{69D794B9-B1E6-469C-9186-C701249311E1}"/>
    <w:embedBold r:id="rId8" w:fontKey="{D57DCE6F-081E-48BA-997A-A0B91A7D77B7}"/>
  </w:font>
  <w:font w:name="Calibri">
    <w:panose1 w:val="020F0502020204030204"/>
    <w:charset w:val="00"/>
    <w:family w:val="swiss"/>
    <w:pitch w:val="variable"/>
    <w:sig w:usb0="E4002EFF" w:usb1="C200247B" w:usb2="00000009" w:usb3="00000000" w:csb0="000001FF" w:csb1="00000000"/>
    <w:embedRegular r:id="rId9" w:fontKey="{3C7EFC0A-22FB-4932-B17C-3BA86A298E00}"/>
  </w:font>
  <w:font w:name="Cambria">
    <w:panose1 w:val="02040503050406030204"/>
    <w:charset w:val="00"/>
    <w:family w:val="roman"/>
    <w:pitch w:val="variable"/>
    <w:sig w:usb0="E00006FF" w:usb1="420024FF" w:usb2="02000000" w:usb3="00000000" w:csb0="0000019F" w:csb1="00000000"/>
    <w:embedRegular r:id="rId10" w:fontKey="{C8650CF3-FE0A-499D-8951-8493FF3961AE}"/>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E440B7E"/>
    <w:multiLevelType w:val="multilevel"/>
    <w:tmpl w:val="18582714"/>
    <w:lvl w:ilvl="0">
      <w:start w:val="1"/>
      <w:numFmt w:val="decimal"/>
      <w:lvlText w:val="%1."/>
      <w:lvlJc w:val="left"/>
      <w:pPr>
        <w:ind w:left="60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1">
      <w:start w:val="1"/>
      <w:numFmt w:val="bullet"/>
      <w:lvlText w:val="○"/>
      <w:lvlJc w:val="left"/>
      <w:pPr>
        <w:ind w:left="144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bCs w:val="0"/>
        <w:i w:val="0"/>
        <w:iCs w:val="0"/>
        <w:smallCaps w:val="0"/>
        <w:strike w:val="0"/>
        <w:color w:val="000000"/>
        <w:sz w:val="22"/>
        <w:szCs w:val="22"/>
        <w:u w:val="none"/>
        <w:shd w:val="clear" w:color="auto" w:fill="auto"/>
        <w:vertAlign w:val="baseline"/>
      </w:rPr>
    </w:lvl>
  </w:abstractNum>
  <w:abstractNum w:abstractNumId="1" w15:restartNumberingAfterBreak="0">
    <w:nsid w:val="20661232"/>
    <w:multiLevelType w:val="multilevel"/>
    <w:tmpl w:val="9A2AEB56"/>
    <w:lvl w:ilvl="0">
      <w:start w:val="1"/>
      <w:numFmt w:val="bullet"/>
      <w:lvlText w:val="●"/>
      <w:lvlJc w:val="left"/>
      <w:pPr>
        <w:ind w:left="465"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1">
      <w:start w:val="1"/>
      <w:numFmt w:val="bullet"/>
      <w:lvlText w:val="○"/>
      <w:lvlJc w:val="left"/>
      <w:pPr>
        <w:ind w:left="144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bCs w:val="0"/>
        <w:i w:val="0"/>
        <w:iCs w:val="0"/>
        <w:smallCaps w:val="0"/>
        <w:strike w:val="0"/>
        <w:color w:val="000000"/>
        <w:sz w:val="22"/>
        <w:szCs w:val="22"/>
        <w:u w:val="none"/>
        <w:shd w:val="clear" w:color="auto" w:fill="auto"/>
        <w:vertAlign w:val="baseline"/>
      </w:rPr>
    </w:lvl>
  </w:abstractNum>
  <w:abstractNum w:abstractNumId="2" w15:restartNumberingAfterBreak="0">
    <w:nsid w:val="33102892"/>
    <w:multiLevelType w:val="multilevel"/>
    <w:tmpl w:val="5D146392"/>
    <w:lvl w:ilvl="0">
      <w:start w:val="1"/>
      <w:numFmt w:val="bullet"/>
      <w:lvlText w:val="●"/>
      <w:lvlJc w:val="left"/>
      <w:pPr>
        <w:ind w:left="465"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1">
      <w:start w:val="1"/>
      <w:numFmt w:val="bullet"/>
      <w:lvlText w:val="○"/>
      <w:lvlJc w:val="left"/>
      <w:pPr>
        <w:ind w:left="144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bCs w:val="0"/>
        <w:i w:val="0"/>
        <w:iCs w:val="0"/>
        <w:smallCaps w:val="0"/>
        <w:strike w:val="0"/>
        <w:color w:val="000000"/>
        <w:sz w:val="22"/>
        <w:szCs w:val="22"/>
        <w:u w:val="none"/>
        <w:shd w:val="clear" w:color="auto" w:fill="auto"/>
        <w:vertAlign w:val="baseline"/>
      </w:rPr>
    </w:lvl>
  </w:abstractNum>
  <w:abstractNum w:abstractNumId="3" w15:restartNumberingAfterBreak="0">
    <w:nsid w:val="397151FD"/>
    <w:multiLevelType w:val="multilevel"/>
    <w:tmpl w:val="5B4604F0"/>
    <w:lvl w:ilvl="0">
      <w:start w:val="1"/>
      <w:numFmt w:val="decimal"/>
      <w:lvlText w:val="%1."/>
      <w:lvlJc w:val="left"/>
      <w:pPr>
        <w:ind w:left="48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1">
      <w:start w:val="1"/>
      <w:numFmt w:val="bullet"/>
      <w:lvlText w:val="○"/>
      <w:lvlJc w:val="left"/>
      <w:pPr>
        <w:ind w:left="144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bCs w:val="0"/>
        <w:i w:val="0"/>
        <w:iCs w:val="0"/>
        <w:smallCaps w:val="0"/>
        <w:strike w:val="0"/>
        <w:color w:val="000000"/>
        <w:sz w:val="22"/>
        <w:szCs w:val="22"/>
        <w:u w:val="none"/>
        <w:shd w:val="clear" w:color="auto" w:fill="auto"/>
        <w:vertAlign w:val="baseline"/>
      </w:rPr>
    </w:lvl>
  </w:abstractNum>
  <w:abstractNum w:abstractNumId="4" w15:restartNumberingAfterBreak="0">
    <w:nsid w:val="409967C3"/>
    <w:multiLevelType w:val="multilevel"/>
    <w:tmpl w:val="0B448C3A"/>
    <w:lvl w:ilvl="0">
      <w:start w:val="1"/>
      <w:numFmt w:val="bullet"/>
      <w:lvlText w:val="●"/>
      <w:lvlJc w:val="left"/>
      <w:pPr>
        <w:ind w:left="465"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1">
      <w:start w:val="1"/>
      <w:numFmt w:val="bullet"/>
      <w:lvlText w:val="○"/>
      <w:lvlJc w:val="left"/>
      <w:pPr>
        <w:ind w:left="144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bCs w:val="0"/>
        <w:i w:val="0"/>
        <w:iCs w:val="0"/>
        <w:smallCaps w:val="0"/>
        <w:strike w:val="0"/>
        <w:color w:val="000000"/>
        <w:sz w:val="22"/>
        <w:szCs w:val="22"/>
        <w:u w:val="none"/>
        <w:shd w:val="clear" w:color="auto" w:fill="auto"/>
        <w:vertAlign w:val="baseline"/>
      </w:rPr>
    </w:lvl>
  </w:abstractNum>
  <w:num w:numId="1" w16cid:durableId="1333755771">
    <w:abstractNumId w:val="4"/>
  </w:num>
  <w:num w:numId="2" w16cid:durableId="383213811">
    <w:abstractNumId w:val="3"/>
  </w:num>
  <w:num w:numId="3" w16cid:durableId="1377043380">
    <w:abstractNumId w:val="1"/>
  </w:num>
  <w:num w:numId="4" w16cid:durableId="1813790936">
    <w:abstractNumId w:val="2"/>
  </w:num>
  <w:num w:numId="5" w16cid:durableId="85631090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bordersDoNotSurroundHeader/>
  <w:bordersDoNotSurroundFooter/>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B5916"/>
    <w:rsid w:val="004D1966"/>
    <w:rsid w:val="0088628B"/>
    <w:rsid w:val="009B5916"/>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92816B"/>
  <w15:docId w15:val="{AE324750-42DC-4C68-871D-0293BB4E5F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heme="minorEastAsia" w:hAnsi="Arial" w:cs="Arial"/>
        <w:sz w:val="22"/>
        <w:szCs w:val="22"/>
        <w:lang w:val="en-US" w:eastAsia="ko-KR"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uiPriority w:val="9"/>
    <w:qFormat/>
    <w:pPr>
      <w:pBdr>
        <w:top w:val="nil"/>
        <w:left w:val="nil"/>
        <w:bottom w:val="nil"/>
        <w:right w:val="nil"/>
        <w:between w:val="nil"/>
      </w:pBdr>
      <w:spacing w:before="240" w:after="240"/>
      <w:outlineLvl w:val="0"/>
    </w:pPr>
    <w:rPr>
      <w:b/>
      <w:bCs/>
      <w:sz w:val="48"/>
      <w:szCs w:val="48"/>
    </w:rPr>
  </w:style>
  <w:style w:type="paragraph" w:styleId="2">
    <w:name w:val="heading 2"/>
    <w:basedOn w:val="a"/>
    <w:next w:val="a"/>
    <w:uiPriority w:val="9"/>
    <w:unhideWhenUsed/>
    <w:qFormat/>
    <w:pPr>
      <w:pBdr>
        <w:top w:val="nil"/>
        <w:left w:val="nil"/>
        <w:bottom w:val="nil"/>
        <w:right w:val="nil"/>
        <w:between w:val="nil"/>
      </w:pBdr>
      <w:spacing w:before="225" w:after="225"/>
      <w:outlineLvl w:val="1"/>
    </w:pPr>
    <w:rPr>
      <w:b/>
      <w:bCs/>
      <w:sz w:val="36"/>
      <w:szCs w:val="36"/>
    </w:rPr>
  </w:style>
  <w:style w:type="paragraph" w:styleId="3">
    <w:name w:val="heading 3"/>
    <w:basedOn w:val="a"/>
    <w:next w:val="a"/>
    <w:uiPriority w:val="9"/>
    <w:unhideWhenUsed/>
    <w:qFormat/>
    <w:pPr>
      <w:pBdr>
        <w:top w:val="nil"/>
        <w:left w:val="nil"/>
        <w:bottom w:val="nil"/>
        <w:right w:val="nil"/>
        <w:between w:val="nil"/>
      </w:pBdr>
      <w:spacing w:before="240" w:after="240"/>
      <w:outlineLvl w:val="2"/>
    </w:pPr>
    <w:rPr>
      <w:b/>
      <w:bCs/>
      <w:sz w:val="28"/>
      <w:szCs w:val="28"/>
    </w:rPr>
  </w:style>
  <w:style w:type="paragraph" w:styleId="4">
    <w:name w:val="heading 4"/>
    <w:basedOn w:val="a"/>
    <w:next w:val="a"/>
    <w:uiPriority w:val="9"/>
    <w:unhideWhenUsed/>
    <w:qFormat/>
    <w:pPr>
      <w:pBdr>
        <w:top w:val="nil"/>
        <w:left w:val="nil"/>
        <w:bottom w:val="nil"/>
        <w:right w:val="nil"/>
        <w:between w:val="nil"/>
      </w:pBdr>
      <w:spacing w:before="255" w:after="255"/>
      <w:outlineLvl w:val="3"/>
    </w:pPr>
    <w:rPr>
      <w:b/>
      <w:bCs/>
      <w:sz w:val="24"/>
      <w:szCs w:val="24"/>
    </w:rPr>
  </w:style>
  <w:style w:type="paragraph" w:styleId="5">
    <w:name w:val="heading 5"/>
    <w:basedOn w:val="a"/>
    <w:next w:val="a"/>
    <w:uiPriority w:val="9"/>
    <w:semiHidden/>
    <w:unhideWhenUsed/>
    <w:qFormat/>
    <w:pPr>
      <w:pBdr>
        <w:top w:val="nil"/>
        <w:left w:val="nil"/>
        <w:bottom w:val="nil"/>
        <w:right w:val="nil"/>
        <w:between w:val="nil"/>
      </w:pBdr>
      <w:spacing w:before="255" w:after="255"/>
      <w:outlineLvl w:val="4"/>
    </w:pPr>
    <w:rPr>
      <w:b/>
      <w:bCs/>
      <w:sz w:val="18"/>
      <w:szCs w:val="18"/>
    </w:rPr>
  </w:style>
  <w:style w:type="paragraph" w:styleId="6">
    <w:name w:val="heading 6"/>
    <w:basedOn w:val="a"/>
    <w:next w:val="a"/>
    <w:uiPriority w:val="9"/>
    <w:semiHidden/>
    <w:unhideWhenUsed/>
    <w:qFormat/>
    <w:pPr>
      <w:pBdr>
        <w:top w:val="nil"/>
        <w:left w:val="nil"/>
        <w:bottom w:val="nil"/>
        <w:right w:val="nil"/>
        <w:between w:val="nil"/>
      </w:pBdr>
      <w:spacing w:before="360" w:after="360"/>
      <w:outlineLvl w:val="5"/>
    </w:pPr>
    <w:rPr>
      <w:b/>
      <w:bCs/>
      <w:sz w:val="16"/>
      <w:szCs w:val="1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a3">
    <w:name w:val="Title"/>
    <w:basedOn w:val="a"/>
    <w:next w:val="a"/>
    <w:uiPriority w:val="10"/>
    <w:qFormat/>
    <w:pPr>
      <w:keepNext/>
      <w:keepLines/>
      <w:spacing w:before="480" w:after="120"/>
    </w:pPr>
    <w:rPr>
      <w:b/>
      <w:bCs/>
      <w:sz w:val="72"/>
      <w:szCs w:val="72"/>
    </w:rPr>
  </w:style>
  <w:style w:type="paragraph" w:styleId="a4">
    <w:name w:val="Subtitle"/>
    <w:basedOn w:val="a"/>
    <w:next w:val="a"/>
    <w:uiPriority w:val="11"/>
    <w:qFormat/>
    <w:pPr>
      <w:keepNext/>
      <w:keepLines/>
      <w:spacing w:before="360" w:after="80"/>
    </w:pPr>
    <w:rPr>
      <w:rFonts w:ascii="Georgia" w:eastAsia="Georgia" w:hAnsi="Georgia" w:cs="Georgia"/>
      <w:i/>
      <w:iCs/>
      <w:color w:val="666666"/>
      <w:sz w:val="48"/>
      <w:szCs w:val="48"/>
    </w:rPr>
  </w:style>
  <w:style w:type="table" w:customStyle="1" w:styleId="a5">
    <w:basedOn w:val="TableNormal"/>
    <w:tblPr>
      <w:tblStyleRowBandSize w:val="1"/>
      <w:tblStyleColBandSize w:val="1"/>
    </w:tblPr>
  </w:style>
  <w:style w:type="table" w:customStyle="1" w:styleId="a6">
    <w:basedOn w:val="TableNormal"/>
    <w:tblPr>
      <w:tblStyleRowBandSize w:val="1"/>
      <w:tblStyleColBandSize w:val="1"/>
    </w:tblPr>
  </w:style>
  <w:style w:type="table" w:customStyle="1" w:styleId="a7">
    <w:basedOn w:val="TableNormal"/>
    <w:tblPr>
      <w:tblStyleRowBandSize w:val="1"/>
      <w:tblStyleColBandSize w:val="1"/>
    </w:tblPr>
  </w:style>
  <w:style w:type="table" w:customStyle="1" w:styleId="a8">
    <w:basedOn w:val="TableNormal"/>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hyperlink" Target="https://pmc.ncbi.nlm.nih.gov/articles/PMC12541643/" TargetMode="External"/><Relationship Id="rId18" Type="http://schemas.openxmlformats.org/officeDocument/2006/relationships/hyperlink" Target="https://www.trade.gov/market-intelligence/uk-healthcare-nhs-report-and-technology-opportunity-2024" TargetMode="External"/><Relationship Id="rId26" Type="http://schemas.openxmlformats.org/officeDocument/2006/relationships/hyperlink" Target="https://www.theaccessgroup.com/en-gb/health-social-care/healthcare-software/virtual-wards/" TargetMode="External"/><Relationship Id="rId39" Type="http://schemas.openxmlformats.org/officeDocument/2006/relationships/hyperlink" Target="https://pmc.ncbi.nlm.nih.gov/articles/PMC12470153/" TargetMode="External"/><Relationship Id="rId3" Type="http://schemas.openxmlformats.org/officeDocument/2006/relationships/settings" Target="settings.xml"/><Relationship Id="rId21" Type="http://schemas.openxmlformats.org/officeDocument/2006/relationships/hyperlink" Target="https://www.gov.uk/government/publications/10-year-health-plan-for-england-fit-for-the-future/fit-for-the-future-10-year-health-plan-for-england-executive-summary" TargetMode="External"/><Relationship Id="rId34" Type="http://schemas.openxmlformats.org/officeDocument/2006/relationships/hyperlink" Target="https://pmc.ncbi.nlm.nih.gov/articles/PMC12142698/" TargetMode="External"/><Relationship Id="rId42" Type="http://schemas.openxmlformats.org/officeDocument/2006/relationships/hyperlink" Target="https://pmc.ncbi.nlm.nih.gov/articles/PMC11181216/" TargetMode="External"/><Relationship Id="rId47" Type="http://schemas.openxmlformats.org/officeDocument/2006/relationships/hyperlink" Target="https://www.jll.com/en-us/insights/how-wearable-technology-is-transforming-wellbeing-in-the-workplace" TargetMode="External"/><Relationship Id="rId50" Type="http://schemas.openxmlformats.org/officeDocument/2006/relationships/fontTable" Target="fontTable.xml"/><Relationship Id="rId7" Type="http://schemas.openxmlformats.org/officeDocument/2006/relationships/hyperlink" Target="https://www.gov.uk/government/publications/10-year-health-plan-for-england-fit-for-the-future/fit-for-the-future-10-year-health-plan-for-england-accessible-version" TargetMode="External"/><Relationship Id="rId12" Type="http://schemas.openxmlformats.org/officeDocument/2006/relationships/hyperlink" Target="https://www.ons.gov.uk/employmentandlabourmarket/peoplenotinwork/economicinactivity" TargetMode="External"/><Relationship Id="rId17" Type="http://schemas.openxmlformats.org/officeDocument/2006/relationships/hyperlink" Target="https://www.nhsconfed.org/publications/darzi-investigation" TargetMode="External"/><Relationship Id="rId25" Type="http://schemas.openxmlformats.org/officeDocument/2006/relationships/hyperlink" Target="https://www.england.nhs.uk/long-read/virtual-wards-enabled-by-technology-guidance-on-selecting-and-procuring-a-technology-platform/" TargetMode="External"/><Relationship Id="rId33" Type="http://schemas.openxmlformats.org/officeDocument/2006/relationships/hyperlink" Target="https://pmc.ncbi.nlm.nih.gov/articles/PMC10625201/" TargetMode="External"/><Relationship Id="rId38" Type="http://schemas.openxmlformats.org/officeDocument/2006/relationships/hyperlink" Target="https://pmc.ncbi.nlm.nih.gov/articles/PMC12379187/" TargetMode="External"/><Relationship Id="rId46" Type="http://schemas.openxmlformats.org/officeDocument/2006/relationships/hyperlink" Target="https://mental.jmir.org/2023/1/e42611" TargetMode="External"/><Relationship Id="rId2" Type="http://schemas.openxmlformats.org/officeDocument/2006/relationships/styles" Target="styles.xml"/><Relationship Id="rId16" Type="http://schemas.openxmlformats.org/officeDocument/2006/relationships/hyperlink" Target="https://www.lancaster.ac.uk/news/think-tank-calls-for-national-reset-on-workforce-health-in-2025" TargetMode="External"/><Relationship Id="rId20" Type="http://schemas.openxmlformats.org/officeDocument/2006/relationships/hyperlink" Target="https://feedbackmedical.com/bleepa/the-darzi-review-new-funding-for-technology-to-enable-community-based-care/" TargetMode="External"/><Relationship Id="rId29" Type="http://schemas.openxmlformats.org/officeDocument/2006/relationships/hyperlink" Target="https://www.scribd.com/document/807361134/iqi-report-digital-health-2024-12-24-forweb" TargetMode="External"/><Relationship Id="rId41" Type="http://schemas.openxmlformats.org/officeDocument/2006/relationships/hyperlink" Target="https://www.mdpi.com/1424-8220/23/9/4259" TargetMode="External"/><Relationship Id="rId1" Type="http://schemas.openxmlformats.org/officeDocument/2006/relationships/numbering" Target="numbering.xml"/><Relationship Id="rId6" Type="http://schemas.openxmlformats.org/officeDocument/2006/relationships/hyperlink" Target="https://www.gov.uk/government/publications/independent-investigation-of-the-nhs-in-england/summary-letter-from-lord-darzi-to-the-secretary-of-state-for-health-and-social-care" TargetMode="External"/><Relationship Id="rId11" Type="http://schemas.openxmlformats.org/officeDocument/2006/relationships/hyperlink" Target="https://commonslibrary.parliament.uk/economic-update-inactivity-due-to-illness-reaches-record/" TargetMode="External"/><Relationship Id="rId24" Type="http://schemas.openxmlformats.org/officeDocument/2006/relationships/hyperlink" Target="https://www.britishpainsociety.org/media/resources/files/fit-for-the-future-10-year-health-plan-for-england.pdf" TargetMode="External"/><Relationship Id="rId32" Type="http://schemas.openxmlformats.org/officeDocument/2006/relationships/hyperlink" Target="https://www.higherechelon.com/use-wearable-technology-employee-health-wellness-programs/" TargetMode="External"/><Relationship Id="rId37" Type="http://schemas.openxmlformats.org/officeDocument/2006/relationships/hyperlink" Target="https://mhealth.jmir.org/2026/1/e76084" TargetMode="External"/><Relationship Id="rId40" Type="http://schemas.openxmlformats.org/officeDocument/2006/relationships/hyperlink" Target="https://dorsavi.com/" TargetMode="External"/><Relationship Id="rId45" Type="http://schemas.openxmlformats.org/officeDocument/2006/relationships/hyperlink" Target="https://www.mdpi.com/2079-9292/14/17/3443" TargetMode="External"/><Relationship Id="rId5" Type="http://schemas.openxmlformats.org/officeDocument/2006/relationships/hyperlink" Target="https://assets.publishing.service.gov.uk/media/69651a7699fbdc498faecd1f/impact-statement-10-year-health-plan.pdf" TargetMode="External"/><Relationship Id="rId15" Type="http://schemas.openxmlformats.org/officeDocument/2006/relationships/hyperlink" Target="https://obr.uk/box/how-does-economic-inactivity-compare-across-advanced-economies/" TargetMode="External"/><Relationship Id="rId23" Type="http://schemas.openxmlformats.org/officeDocument/2006/relationships/hyperlink" Target="https://www.gov.uk/government/news/funding-boost-to-support-patients-to-stay-in-and-return-to-work" TargetMode="External"/><Relationship Id="rId28" Type="http://schemas.openxmlformats.org/officeDocument/2006/relationships/hyperlink" Target="https://www.researchgate.net/publication/388323724_Digital_Health_Trends_2024_Implications_for_Research_and_Patient_Care" TargetMode="External"/><Relationship Id="rId36" Type="http://schemas.openxmlformats.org/officeDocument/2006/relationships/hyperlink" Target="https://www.rti.org/rti-press-publication/wearable-sensors-service-members-first-responders-considerations-using-commercially-available-sensor" TargetMode="External"/><Relationship Id="rId49" Type="http://schemas.openxmlformats.org/officeDocument/2006/relationships/hyperlink" Target="https://blogs.psico-smart.com/blog-what-role-do-wearable-health-monitoring-devices-play-in-preventing-chr-185695" TargetMode="External"/><Relationship Id="rId10" Type="http://schemas.openxmlformats.org/officeDocument/2006/relationships/hyperlink" Target="https://www.britishchambers.org.uk/news/2025/09/long-term-sickness-blighting-uk-economy/" TargetMode="External"/><Relationship Id="rId19" Type="http://schemas.openxmlformats.org/officeDocument/2006/relationships/hyperlink" Target="https://policyconnect.org.uk/blog/darzi-review-critical-examination-nhs/" TargetMode="External"/><Relationship Id="rId31" Type="http://schemas.openxmlformats.org/officeDocument/2006/relationships/hyperlink" Target="https://pmc.ncbi.nlm.nih.gov/articles/PMC8154297/" TargetMode="External"/><Relationship Id="rId44" Type="http://schemas.openxmlformats.org/officeDocument/2006/relationships/hyperlink" Target="https://www.britsafe.org/safety-management/2025/ai-powered-wearables-transforming-workplace-health-and-safety" TargetMode="External"/><Relationship Id="rId4" Type="http://schemas.openxmlformats.org/officeDocument/2006/relationships/webSettings" Target="webSettings.xml"/><Relationship Id="rId9" Type="http://schemas.openxmlformats.org/officeDocument/2006/relationships/hyperlink" Target="https://workcare.com/resources/blog/the-future-of-workplace-injury-prevention-the-rise-of-predictive-safety/" TargetMode="External"/><Relationship Id="rId14" Type="http://schemas.openxmlformats.org/officeDocument/2006/relationships/hyperlink" Target="https://researchbriefings.files.parliament.uk/documents/CBP-9366/CBP-9366.pdf" TargetMode="External"/><Relationship Id="rId22" Type="http://schemas.openxmlformats.org/officeDocument/2006/relationships/hyperlink" Target="https://www.england.nhs.uk/blog/single-patient-record-insights-from-public-and-market-feedback/" TargetMode="External"/><Relationship Id="rId27" Type="http://schemas.openxmlformats.org/officeDocument/2006/relationships/hyperlink" Target="https://www.virtualwardtechnologies.co.uk/" TargetMode="External"/><Relationship Id="rId30" Type="http://schemas.openxmlformats.org/officeDocument/2006/relationships/hyperlink" Target="https://www.ewin.nhs.uk/sites/default/files/Virtual%20Wards_Evidence%20Brief.pdf" TargetMode="External"/><Relationship Id="rId35" Type="http://schemas.openxmlformats.org/officeDocument/2006/relationships/hyperlink" Target="https://www.ncbi.nlm.nih.gov/books/NBK602203/" TargetMode="External"/><Relationship Id="rId43" Type="http://schemas.openxmlformats.org/officeDocument/2006/relationships/hyperlink" Target="https://pmc.ncbi.nlm.nih.gov/articles/PMC11675614/" TargetMode="External"/><Relationship Id="rId48" Type="http://schemas.openxmlformats.org/officeDocument/2006/relationships/hyperlink" Target="https://www.ihrim.org/2023/08/how-wearable-technology-can-promote-health/" TargetMode="External"/><Relationship Id="rId8" Type="http://schemas.openxmlformats.org/officeDocument/2006/relationships/hyperlink" Target="https://diagnostics.roche.com/global/en/healthcare-transformers/article/wearable-technology-in-healthcare.html" TargetMode="External"/><Relationship Id="rId51"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5389</Words>
  <Characters>30719</Characters>
  <Application>Microsoft Office Word</Application>
  <DocSecurity>0</DocSecurity>
  <Lines>255</Lines>
  <Paragraphs>72</Paragraphs>
  <ScaleCrop>false</ScaleCrop>
  <Company/>
  <LinksUpToDate>false</LinksUpToDate>
  <CharactersWithSpaces>36036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Alfred Cho</cp:lastModifiedBy>
  <cp:revision>2</cp:revision>
  <dcterms:created xsi:type="dcterms:W3CDTF">2026-03-11T11:34:00Z</dcterms:created>
  <dcterms:modified xsi:type="dcterms:W3CDTF">2026-03-11T11:35:00Z</dcterms:modified>
</cp:coreProperties>
</file>